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4B620" w14:textId="7777777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6544B621" w14:textId="77777777" w:rsidR="00CD7850" w:rsidRPr="00D66191" w:rsidRDefault="00D66191" w:rsidP="00591426">
      <w:pPr>
        <w:widowControl w:val="0"/>
        <w:jc w:val="right"/>
        <w:rPr>
          <w:rFonts w:ascii="Arial" w:hAnsi="Arial" w:cs="Arial"/>
          <w:snapToGrid w:val="0"/>
          <w:lang w:eastAsia="en-US"/>
        </w:rPr>
      </w:pPr>
      <w:r w:rsidRPr="00D66191">
        <w:rPr>
          <w:rFonts w:ascii="Arial" w:hAnsi="Arial" w:cs="Arial"/>
          <w:snapToGrid w:val="0"/>
          <w:lang w:eastAsia="en-US"/>
        </w:rPr>
        <w:t xml:space="preserve">Strategy </w:t>
      </w:r>
      <w:r w:rsidR="00BE50ED">
        <w:rPr>
          <w:rFonts w:ascii="Arial" w:hAnsi="Arial" w:cs="Arial"/>
          <w:snapToGrid w:val="0"/>
          <w:lang w:eastAsia="en-US"/>
        </w:rPr>
        <w:t>and</w:t>
      </w:r>
      <w:r w:rsidRPr="00D66191">
        <w:rPr>
          <w:rFonts w:ascii="Arial" w:hAnsi="Arial" w:cs="Arial"/>
          <w:snapToGrid w:val="0"/>
          <w:lang w:eastAsia="en-US"/>
        </w:rPr>
        <w:t xml:space="preserve"> Resources Committee</w:t>
      </w:r>
    </w:p>
    <w:p w14:paraId="6544B622" w14:textId="77777777" w:rsidR="00CD7850" w:rsidRPr="00D66191" w:rsidRDefault="005C5CBA" w:rsidP="00591426">
      <w:pPr>
        <w:widowControl w:val="0"/>
        <w:jc w:val="right"/>
        <w:rPr>
          <w:rFonts w:ascii="Arial" w:hAnsi="Arial" w:cs="Arial"/>
          <w:snapToGrid w:val="0"/>
          <w:lang w:eastAsia="en-US"/>
        </w:rPr>
      </w:pPr>
      <w:r>
        <w:rPr>
          <w:rFonts w:ascii="Arial" w:hAnsi="Arial" w:cs="Arial"/>
          <w:snapToGrid w:val="0"/>
          <w:lang w:eastAsia="en-US"/>
        </w:rPr>
        <w:t>5 February 2015</w:t>
      </w:r>
    </w:p>
    <w:p w14:paraId="6544B623" w14:textId="77777777" w:rsidR="00480908" w:rsidRPr="006D45C8" w:rsidRDefault="004E0C2B"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6544B624" w14:textId="77777777" w:rsidR="00591426" w:rsidRPr="006D45C8" w:rsidRDefault="00591426" w:rsidP="00591426">
      <w:pPr>
        <w:widowControl w:val="0"/>
        <w:rPr>
          <w:rFonts w:ascii="Arial" w:hAnsi="Arial" w:cs="Arial"/>
          <w:snapToGrid w:val="0"/>
          <w:lang w:eastAsia="en-US"/>
        </w:rPr>
      </w:pPr>
    </w:p>
    <w:p w14:paraId="6544B625" w14:textId="77777777" w:rsidR="00591426" w:rsidRPr="0026234D" w:rsidRDefault="001B3D51" w:rsidP="00CD7850">
      <w:pPr>
        <w:widowControl w:val="0"/>
        <w:rPr>
          <w:rFonts w:ascii="Arial" w:hAnsi="Arial"/>
          <w:b/>
          <w:snapToGrid w:val="0"/>
          <w:sz w:val="40"/>
          <w:szCs w:val="40"/>
          <w:lang w:eastAsia="en-US"/>
        </w:rPr>
      </w:pPr>
      <w:r>
        <w:rPr>
          <w:rFonts w:ascii="Arial" w:hAnsi="Arial"/>
          <w:b/>
          <w:snapToGrid w:val="0"/>
          <w:sz w:val="40"/>
          <w:szCs w:val="40"/>
          <w:lang w:eastAsia="en-US"/>
        </w:rPr>
        <w:t>Financial Performance to December 201</w:t>
      </w:r>
      <w:r w:rsidR="005C5CBA">
        <w:rPr>
          <w:rFonts w:ascii="Arial" w:hAnsi="Arial"/>
          <w:b/>
          <w:snapToGrid w:val="0"/>
          <w:sz w:val="40"/>
          <w:szCs w:val="40"/>
          <w:lang w:eastAsia="en-US"/>
        </w:rPr>
        <w:t>4</w:t>
      </w:r>
    </w:p>
    <w:p w14:paraId="6544B626" w14:textId="77777777" w:rsidR="00591426" w:rsidRDefault="00591426" w:rsidP="00F72E0D">
      <w:pPr>
        <w:widowControl w:val="0"/>
        <w:jc w:val="both"/>
        <w:rPr>
          <w:rFonts w:ascii="Arial" w:hAnsi="Arial"/>
          <w:b/>
          <w:snapToGrid w:val="0"/>
          <w:lang w:eastAsia="en-US"/>
        </w:rPr>
      </w:pPr>
    </w:p>
    <w:p w14:paraId="6544B627" w14:textId="77777777" w:rsidR="00CD7850" w:rsidRPr="00117B5F" w:rsidRDefault="00CD7850" w:rsidP="00F72E0D">
      <w:pPr>
        <w:widowControl w:val="0"/>
        <w:jc w:val="both"/>
        <w:rPr>
          <w:rFonts w:ascii="Arial" w:hAnsi="Arial"/>
          <w:b/>
          <w:snapToGrid w:val="0"/>
          <w:lang w:eastAsia="en-US"/>
        </w:rPr>
      </w:pPr>
    </w:p>
    <w:p w14:paraId="6544B628" w14:textId="77777777" w:rsidR="002231CA" w:rsidRDefault="002231CA" w:rsidP="00CD7850">
      <w:pPr>
        <w:pStyle w:val="ssheader"/>
        <w:widowControl w:val="0"/>
        <w:rPr>
          <w:sz w:val="28"/>
          <w:szCs w:val="28"/>
        </w:rPr>
      </w:pPr>
      <w:r>
        <w:rPr>
          <w:caps w:val="0"/>
          <w:sz w:val="28"/>
          <w:szCs w:val="28"/>
        </w:rPr>
        <w:t xml:space="preserve">Report of the </w:t>
      </w:r>
      <w:r w:rsidR="008B4106">
        <w:rPr>
          <w:caps w:val="0"/>
          <w:sz w:val="28"/>
          <w:szCs w:val="28"/>
        </w:rPr>
        <w:t>Treasurer</w:t>
      </w:r>
    </w:p>
    <w:p w14:paraId="6544B629" w14:textId="77777777" w:rsidR="00591426" w:rsidRPr="007D7800" w:rsidRDefault="002231CA" w:rsidP="00CD7850">
      <w:pPr>
        <w:pStyle w:val="ssheader"/>
        <w:widowControl w:val="0"/>
        <w:rPr>
          <w:rFonts w:cs="Times New Roman"/>
          <w:b w:val="0"/>
          <w:bCs w:val="0"/>
          <w:caps w:val="0"/>
          <w:snapToGrid w:val="0"/>
          <w:sz w:val="24"/>
          <w:szCs w:val="24"/>
          <w:lang w:eastAsia="en-US"/>
        </w:rPr>
      </w:pPr>
      <w:r w:rsidRPr="006D45C8">
        <w:rPr>
          <w:b w:val="0"/>
          <w:caps w:val="0"/>
          <w:sz w:val="24"/>
          <w:szCs w:val="24"/>
        </w:rPr>
        <w:t>For further information about this report please contact</w:t>
      </w:r>
      <w:r w:rsidR="00FB4B9A">
        <w:rPr>
          <w:b w:val="0"/>
          <w:caps w:val="0"/>
          <w:sz w:val="24"/>
          <w:szCs w:val="24"/>
        </w:rPr>
        <w:t xml:space="preserve"> </w:t>
      </w:r>
      <w:r w:rsidR="001B3D51">
        <w:rPr>
          <w:b w:val="0"/>
          <w:caps w:val="0"/>
          <w:sz w:val="24"/>
          <w:szCs w:val="24"/>
        </w:rPr>
        <w:t>James Walton, Treasurer, on 01743 255011,</w:t>
      </w:r>
      <w:r w:rsidR="00FB4B9A">
        <w:rPr>
          <w:b w:val="0"/>
          <w:caps w:val="0"/>
          <w:sz w:val="24"/>
          <w:szCs w:val="24"/>
        </w:rPr>
        <w:t xml:space="preserve"> or</w:t>
      </w:r>
      <w:r w:rsidR="00CD7850">
        <w:rPr>
          <w:b w:val="0"/>
          <w:caps w:val="0"/>
          <w:sz w:val="24"/>
          <w:szCs w:val="24"/>
        </w:rPr>
        <w:t xml:space="preserve"> </w:t>
      </w:r>
      <w:r w:rsidR="001B3D51">
        <w:rPr>
          <w:b w:val="0"/>
          <w:caps w:val="0"/>
          <w:sz w:val="24"/>
          <w:szCs w:val="24"/>
        </w:rPr>
        <w:t>Joanne Coadey, Head of Finance</w:t>
      </w:r>
      <w:r w:rsidR="00CD7850">
        <w:rPr>
          <w:b w:val="0"/>
          <w:caps w:val="0"/>
          <w:sz w:val="24"/>
          <w:szCs w:val="24"/>
        </w:rPr>
        <w:t xml:space="preserve"> on </w:t>
      </w:r>
      <w:r w:rsidR="001B3D51">
        <w:rPr>
          <w:b w:val="0"/>
          <w:caps w:val="0"/>
          <w:sz w:val="24"/>
          <w:szCs w:val="24"/>
        </w:rPr>
        <w:t>01743 260215</w:t>
      </w:r>
      <w:r w:rsidR="007D7800">
        <w:rPr>
          <w:rFonts w:cs="Times New Roman"/>
          <w:b w:val="0"/>
          <w:bCs w:val="0"/>
          <w:caps w:val="0"/>
          <w:snapToGrid w:val="0"/>
          <w:sz w:val="24"/>
          <w:szCs w:val="24"/>
          <w:lang w:eastAsia="en-US"/>
        </w:rPr>
        <w:t>.</w:t>
      </w:r>
      <w:r w:rsidR="004E0C2B">
        <w:fldChar w:fldCharType="begin"/>
      </w:r>
      <w:r w:rsidR="00336FE6">
        <w:instrText xml:space="preserve"> FILLIN  "TITLE OF REPORT"  \* MERGEFORMAT </w:instrText>
      </w:r>
      <w:r w:rsidR="004E0C2B">
        <w:fldChar w:fldCharType="end"/>
      </w:r>
    </w:p>
    <w:p w14:paraId="6544B62A" w14:textId="77777777" w:rsidR="00591426" w:rsidRDefault="00591426" w:rsidP="00F72E0D">
      <w:pPr>
        <w:widowControl w:val="0"/>
        <w:rPr>
          <w:rFonts w:ascii="Arial" w:hAnsi="Arial"/>
          <w:snapToGrid w:val="0"/>
          <w:lang w:eastAsia="en-US"/>
        </w:rPr>
      </w:pPr>
    </w:p>
    <w:p w14:paraId="6544B62B" w14:textId="77777777" w:rsidR="009F2A2D" w:rsidRPr="00A04037" w:rsidRDefault="009F2A2D" w:rsidP="00F72E0D">
      <w:pPr>
        <w:widowControl w:val="0"/>
        <w:rPr>
          <w:rFonts w:ascii="Arial" w:hAnsi="Arial"/>
          <w:snapToGrid w:val="0"/>
          <w:lang w:eastAsia="en-US"/>
        </w:rPr>
      </w:pPr>
    </w:p>
    <w:p w14:paraId="6544B62C" w14:textId="77777777" w:rsidR="00591426" w:rsidRDefault="00591426" w:rsidP="007C405D">
      <w:pPr>
        <w:pStyle w:val="sssubhead1"/>
      </w:pPr>
      <w:r>
        <w:t>Purpose of Report</w:t>
      </w:r>
    </w:p>
    <w:p w14:paraId="6544B62D" w14:textId="77777777" w:rsidR="00117B5F" w:rsidRPr="00117B5F" w:rsidRDefault="00117B5F" w:rsidP="00117B5F">
      <w:pPr>
        <w:pStyle w:val="PlainText"/>
        <w:rPr>
          <w:rFonts w:ascii="Arial" w:hAnsi="Arial" w:cs="Arial"/>
          <w:sz w:val="24"/>
          <w:szCs w:val="24"/>
        </w:rPr>
      </w:pPr>
    </w:p>
    <w:p w14:paraId="6544B62E" w14:textId="77777777" w:rsidR="00591426" w:rsidRPr="006D45C8" w:rsidRDefault="00201469" w:rsidP="002231CA">
      <w:pPr>
        <w:pStyle w:val="PlainText"/>
        <w:ind w:left="720"/>
        <w:rPr>
          <w:rFonts w:ascii="Arial" w:hAnsi="Arial" w:cs="Arial"/>
          <w:sz w:val="24"/>
          <w:szCs w:val="24"/>
        </w:rPr>
      </w:pPr>
      <w:r>
        <w:rPr>
          <w:rFonts w:ascii="Arial" w:hAnsi="Arial" w:cs="Arial"/>
          <w:sz w:val="24"/>
          <w:szCs w:val="24"/>
        </w:rPr>
        <w:t>This report</w:t>
      </w:r>
      <w:r w:rsidRPr="00201469">
        <w:rPr>
          <w:rFonts w:ascii="Arial" w:hAnsi="Arial" w:cs="Arial"/>
          <w:sz w:val="24"/>
          <w:szCs w:val="24"/>
        </w:rPr>
        <w:t xml:space="preserve"> </w:t>
      </w:r>
      <w:r w:rsidRPr="007E3225">
        <w:rPr>
          <w:rFonts w:ascii="Arial" w:hAnsi="Arial" w:cs="Arial"/>
          <w:sz w:val="24"/>
          <w:szCs w:val="24"/>
        </w:rPr>
        <w:t>provides information on the finan</w:t>
      </w:r>
      <w:r>
        <w:rPr>
          <w:rFonts w:ascii="Arial" w:hAnsi="Arial" w:cs="Arial"/>
          <w:sz w:val="24"/>
          <w:szCs w:val="24"/>
        </w:rPr>
        <w:t>cial performance of the S</w:t>
      </w:r>
      <w:r w:rsidRPr="007E3225">
        <w:rPr>
          <w:rFonts w:ascii="Arial" w:hAnsi="Arial" w:cs="Arial"/>
          <w:sz w:val="24"/>
          <w:szCs w:val="24"/>
        </w:rPr>
        <w:t>ervice, and seeks approval for action, where necessary.</w:t>
      </w:r>
    </w:p>
    <w:p w14:paraId="6544B62F" w14:textId="77777777" w:rsidR="009C7FA8" w:rsidRDefault="009C7FA8" w:rsidP="00F72E0D">
      <w:pPr>
        <w:rPr>
          <w:rFonts w:ascii="Arial" w:hAnsi="Arial" w:cs="Arial"/>
        </w:rPr>
      </w:pPr>
    </w:p>
    <w:p w14:paraId="6544B630" w14:textId="77777777" w:rsidR="008B4106" w:rsidRPr="006D45C8" w:rsidRDefault="008B4106" w:rsidP="00F72E0D">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44"/>
      </w:tblGrid>
      <w:tr w:rsidR="00591426" w14:paraId="6544B63C" w14:textId="77777777" w:rsidTr="00373429">
        <w:tc>
          <w:tcPr>
            <w:tcW w:w="828" w:type="dxa"/>
            <w:tcBorders>
              <w:top w:val="nil"/>
              <w:left w:val="nil"/>
              <w:bottom w:val="nil"/>
            </w:tcBorders>
          </w:tcPr>
          <w:p w14:paraId="6544B631" w14:textId="77777777" w:rsidR="00591426" w:rsidRPr="000975D5" w:rsidRDefault="00591426" w:rsidP="00F72E0D">
            <w:pPr>
              <w:rPr>
                <w:rFonts w:ascii="Arial" w:hAnsi="Arial" w:cs="Arial"/>
                <w:sz w:val="22"/>
                <w:szCs w:val="22"/>
              </w:rPr>
            </w:pPr>
          </w:p>
          <w:p w14:paraId="6544B632" w14:textId="77777777" w:rsidR="00591426" w:rsidRDefault="00591426" w:rsidP="007C405D">
            <w:pPr>
              <w:pStyle w:val="sssubhead1"/>
            </w:pPr>
          </w:p>
        </w:tc>
        <w:tc>
          <w:tcPr>
            <w:tcW w:w="8244" w:type="dxa"/>
          </w:tcPr>
          <w:p w14:paraId="6544B633" w14:textId="77777777" w:rsidR="00591426" w:rsidRPr="000975D5" w:rsidRDefault="00591426" w:rsidP="00F72E0D">
            <w:pPr>
              <w:rPr>
                <w:rFonts w:ascii="Arial" w:hAnsi="Arial" w:cs="Arial"/>
                <w:sz w:val="22"/>
                <w:szCs w:val="22"/>
              </w:rPr>
            </w:pPr>
          </w:p>
          <w:p w14:paraId="6544B634" w14:textId="77777777" w:rsidR="00201469" w:rsidRPr="007E3225" w:rsidRDefault="00201469" w:rsidP="00201469">
            <w:pPr>
              <w:pStyle w:val="lethead"/>
              <w:tabs>
                <w:tab w:val="clear" w:pos="4819"/>
                <w:tab w:val="clear" w:pos="9071"/>
              </w:tabs>
              <w:rPr>
                <w:rFonts w:ascii="Arial" w:hAnsi="Arial"/>
              </w:rPr>
            </w:pPr>
            <w:r w:rsidRPr="007E3225">
              <w:rPr>
                <w:rFonts w:ascii="Arial" w:hAnsi="Arial"/>
              </w:rPr>
              <w:t>Recommendations</w:t>
            </w:r>
          </w:p>
          <w:p w14:paraId="6544B635" w14:textId="77777777" w:rsidR="00201469" w:rsidRPr="007E3225" w:rsidRDefault="00201469" w:rsidP="00201469">
            <w:pPr>
              <w:pStyle w:val="BodyTextIndent2"/>
              <w:ind w:left="0"/>
              <w:jc w:val="left"/>
              <w:rPr>
                <w:rFonts w:ascii="Arial" w:hAnsi="Arial" w:cs="Arial"/>
              </w:rPr>
            </w:pPr>
          </w:p>
          <w:p w14:paraId="6544B636" w14:textId="77777777" w:rsidR="00201469" w:rsidRPr="007E3225" w:rsidRDefault="00201469" w:rsidP="00201469">
            <w:pPr>
              <w:pStyle w:val="BodyTextIndent2"/>
              <w:ind w:left="0"/>
              <w:jc w:val="left"/>
              <w:rPr>
                <w:rFonts w:ascii="Arial" w:hAnsi="Arial" w:cs="Arial"/>
              </w:rPr>
            </w:pPr>
            <w:r w:rsidRPr="007E3225">
              <w:rPr>
                <w:rFonts w:ascii="Arial" w:hAnsi="Arial" w:cs="Arial"/>
              </w:rPr>
              <w:t>The Committee is asked to recommend that the Fire Authority:</w:t>
            </w:r>
          </w:p>
          <w:p w14:paraId="6544B637" w14:textId="77777777" w:rsidR="00201469" w:rsidRPr="007E3225" w:rsidRDefault="00201469" w:rsidP="00201469">
            <w:pPr>
              <w:pStyle w:val="BodyTextIndent2"/>
              <w:ind w:left="0"/>
              <w:jc w:val="left"/>
              <w:rPr>
                <w:rFonts w:ascii="Arial" w:hAnsi="Arial" w:cs="Arial"/>
              </w:rPr>
            </w:pPr>
          </w:p>
          <w:p w14:paraId="6544B638" w14:textId="77777777" w:rsidR="00201469" w:rsidRPr="007E3225" w:rsidRDefault="00201469" w:rsidP="00373429">
            <w:pPr>
              <w:pStyle w:val="BodyTextIndent2"/>
              <w:numPr>
                <w:ilvl w:val="0"/>
                <w:numId w:val="5"/>
              </w:numPr>
              <w:tabs>
                <w:tab w:val="clear" w:pos="720"/>
                <w:tab w:val="num" w:pos="482"/>
              </w:tabs>
              <w:ind w:left="482" w:hanging="482"/>
              <w:jc w:val="left"/>
              <w:rPr>
                <w:rFonts w:ascii="Arial" w:hAnsi="Arial" w:cs="Arial"/>
              </w:rPr>
            </w:pPr>
            <w:r w:rsidRPr="007E3225">
              <w:rPr>
                <w:rFonts w:ascii="Arial" w:hAnsi="Arial" w:cs="Arial"/>
              </w:rPr>
              <w:t>Note the position of the revenue budget;</w:t>
            </w:r>
          </w:p>
          <w:p w14:paraId="6544B639" w14:textId="77777777" w:rsidR="00010FCE" w:rsidRPr="005C5CBA" w:rsidRDefault="00201469" w:rsidP="00373429">
            <w:pPr>
              <w:pStyle w:val="BodyTextIndent2"/>
              <w:numPr>
                <w:ilvl w:val="0"/>
                <w:numId w:val="5"/>
              </w:numPr>
              <w:tabs>
                <w:tab w:val="clear" w:pos="720"/>
                <w:tab w:val="num" w:pos="482"/>
              </w:tabs>
              <w:ind w:left="482" w:hanging="482"/>
              <w:jc w:val="left"/>
              <w:rPr>
                <w:rFonts w:ascii="Arial" w:hAnsi="Arial" w:cs="Arial"/>
              </w:rPr>
            </w:pPr>
            <w:r w:rsidRPr="007E3225">
              <w:rPr>
                <w:rFonts w:ascii="Arial" w:hAnsi="Arial" w:cs="Arial"/>
              </w:rPr>
              <w:t xml:space="preserve">Approve </w:t>
            </w:r>
            <w:r w:rsidR="00010FCE">
              <w:rPr>
                <w:rFonts w:ascii="Arial" w:hAnsi="Arial" w:cs="Arial"/>
              </w:rPr>
              <w:t xml:space="preserve">movements and </w:t>
            </w:r>
            <w:r w:rsidRPr="007E3225">
              <w:rPr>
                <w:rFonts w:ascii="Arial" w:hAnsi="Arial" w:cs="Arial"/>
              </w:rPr>
              <w:t>virements to the revenue budget</w:t>
            </w:r>
            <w:r>
              <w:rPr>
                <w:rFonts w:ascii="Arial" w:hAnsi="Arial" w:cs="Arial"/>
              </w:rPr>
              <w:t>,</w:t>
            </w:r>
            <w:r w:rsidRPr="007E3225">
              <w:rPr>
                <w:rFonts w:ascii="Arial" w:hAnsi="Arial" w:cs="Arial"/>
              </w:rPr>
              <w:t xml:space="preserve"> where requested</w:t>
            </w:r>
            <w:r w:rsidR="00010FCE">
              <w:rPr>
                <w:rFonts w:ascii="Arial" w:hAnsi="Arial" w:cs="Arial"/>
              </w:rPr>
              <w:t>;</w:t>
            </w:r>
            <w:r w:rsidR="005C5CBA">
              <w:rPr>
                <w:rFonts w:ascii="Arial" w:hAnsi="Arial" w:cs="Arial"/>
              </w:rPr>
              <w:t xml:space="preserve"> and</w:t>
            </w:r>
          </w:p>
          <w:p w14:paraId="6544B63A" w14:textId="77777777" w:rsidR="00201469" w:rsidRDefault="00201469" w:rsidP="00373429">
            <w:pPr>
              <w:pStyle w:val="BodyTextIndent2"/>
              <w:numPr>
                <w:ilvl w:val="0"/>
                <w:numId w:val="5"/>
              </w:numPr>
              <w:tabs>
                <w:tab w:val="clear" w:pos="720"/>
                <w:tab w:val="num" w:pos="482"/>
              </w:tabs>
              <w:ind w:left="482" w:hanging="482"/>
              <w:jc w:val="left"/>
              <w:rPr>
                <w:rFonts w:ascii="Arial" w:hAnsi="Arial" w:cs="Arial"/>
              </w:rPr>
            </w:pPr>
            <w:r w:rsidRPr="007E3225">
              <w:rPr>
                <w:rFonts w:ascii="Arial" w:hAnsi="Arial" w:cs="Arial"/>
              </w:rPr>
              <w:t>Note performance against prudential indicators to date in 201</w:t>
            </w:r>
            <w:r w:rsidR="005C5CBA">
              <w:rPr>
                <w:rFonts w:ascii="Arial" w:hAnsi="Arial" w:cs="Arial"/>
              </w:rPr>
              <w:t>4</w:t>
            </w:r>
            <w:r w:rsidRPr="007E3225">
              <w:rPr>
                <w:rFonts w:ascii="Arial" w:hAnsi="Arial" w:cs="Arial"/>
              </w:rPr>
              <w:t>/1</w:t>
            </w:r>
            <w:r w:rsidR="005C5CBA">
              <w:rPr>
                <w:rFonts w:ascii="Arial" w:hAnsi="Arial" w:cs="Arial"/>
              </w:rPr>
              <w:t>5</w:t>
            </w:r>
            <w:r>
              <w:rPr>
                <w:rFonts w:ascii="Arial" w:hAnsi="Arial" w:cs="Arial"/>
              </w:rPr>
              <w:t>.</w:t>
            </w:r>
          </w:p>
          <w:p w14:paraId="6544B63B" w14:textId="77777777" w:rsidR="00591426" w:rsidRDefault="00591426" w:rsidP="00201469">
            <w:pPr>
              <w:pStyle w:val="BodyTextIndent2"/>
              <w:ind w:left="0"/>
              <w:jc w:val="left"/>
            </w:pPr>
          </w:p>
        </w:tc>
      </w:tr>
    </w:tbl>
    <w:p w14:paraId="6544B63D" w14:textId="77777777" w:rsidR="00591426" w:rsidRDefault="00591426" w:rsidP="00F72E0D">
      <w:pPr>
        <w:rPr>
          <w:rFonts w:ascii="Arial" w:hAnsi="Arial" w:cs="Arial"/>
        </w:rPr>
      </w:pPr>
    </w:p>
    <w:p w14:paraId="6544B63E" w14:textId="77777777" w:rsidR="008B4106" w:rsidRPr="006D45C8" w:rsidRDefault="008B4106" w:rsidP="00F72E0D">
      <w:pPr>
        <w:rPr>
          <w:rFonts w:ascii="Arial" w:hAnsi="Arial" w:cs="Arial"/>
        </w:rPr>
      </w:pPr>
    </w:p>
    <w:p w14:paraId="6544B63F" w14:textId="77777777" w:rsidR="00591426" w:rsidRDefault="00591426" w:rsidP="007C405D">
      <w:pPr>
        <w:pStyle w:val="sssubhead1"/>
      </w:pPr>
      <w:r>
        <w:t>Background</w:t>
      </w:r>
    </w:p>
    <w:p w14:paraId="6544B640" w14:textId="77777777" w:rsidR="00591426" w:rsidRDefault="00591426" w:rsidP="00F72E0D">
      <w:pPr>
        <w:rPr>
          <w:rFonts w:ascii="Arial" w:hAnsi="Arial" w:cs="Arial"/>
        </w:rPr>
      </w:pPr>
    </w:p>
    <w:p w14:paraId="6544B641" w14:textId="77777777" w:rsidR="009C7FA8" w:rsidRDefault="00201469" w:rsidP="00BE50ED">
      <w:pPr>
        <w:ind w:left="720"/>
        <w:rPr>
          <w:rFonts w:ascii="Arial" w:hAnsi="Arial" w:cs="Arial"/>
          <w:color w:val="FF0000"/>
        </w:rPr>
      </w:pPr>
      <w:r w:rsidRPr="007E3225">
        <w:rPr>
          <w:rFonts w:ascii="Arial" w:hAnsi="Arial" w:cs="Arial"/>
        </w:rPr>
        <w:t>This report comprises a review of financial performance to date for 201</w:t>
      </w:r>
      <w:r w:rsidR="005C5CBA">
        <w:rPr>
          <w:rFonts w:ascii="Arial" w:hAnsi="Arial" w:cs="Arial"/>
        </w:rPr>
        <w:t>4</w:t>
      </w:r>
      <w:r w:rsidRPr="007E3225">
        <w:rPr>
          <w:rFonts w:ascii="Arial" w:hAnsi="Arial" w:cs="Arial"/>
        </w:rPr>
        <w:t>/1</w:t>
      </w:r>
      <w:r w:rsidR="005C5CBA">
        <w:rPr>
          <w:rFonts w:ascii="Arial" w:hAnsi="Arial" w:cs="Arial"/>
        </w:rPr>
        <w:t>5</w:t>
      </w:r>
      <w:r w:rsidRPr="007E3225">
        <w:rPr>
          <w:rFonts w:ascii="Arial" w:hAnsi="Arial" w:cs="Arial"/>
        </w:rPr>
        <w:t>, and encompasses the monitoring of revenue budgets and capital schemes,</w:t>
      </w:r>
      <w:r w:rsidR="008B4106">
        <w:rPr>
          <w:rFonts w:ascii="Arial" w:hAnsi="Arial" w:cs="Arial"/>
        </w:rPr>
        <w:t xml:space="preserve"> and</w:t>
      </w:r>
      <w:r w:rsidRPr="007E3225">
        <w:rPr>
          <w:rFonts w:ascii="Arial" w:hAnsi="Arial" w:cs="Arial"/>
        </w:rPr>
        <w:t xml:space="preserve"> the review of treasury management activities, including prudential indicators.</w:t>
      </w:r>
      <w:r w:rsidRPr="00F95053">
        <w:rPr>
          <w:rFonts w:ascii="Arial" w:hAnsi="Arial" w:cs="Arial"/>
          <w:color w:val="FF0000"/>
        </w:rPr>
        <w:t xml:space="preserve"> </w:t>
      </w:r>
    </w:p>
    <w:p w14:paraId="6544B642" w14:textId="77777777" w:rsidR="00BE50ED" w:rsidRPr="006D45C8" w:rsidRDefault="00BE50ED" w:rsidP="00BE50ED">
      <w:pPr>
        <w:ind w:left="720"/>
        <w:rPr>
          <w:rFonts w:ascii="Arial" w:hAnsi="Arial" w:cs="Arial"/>
        </w:rPr>
      </w:pPr>
    </w:p>
    <w:p w14:paraId="6544B643" w14:textId="77777777" w:rsidR="00591426" w:rsidRDefault="00B70594" w:rsidP="007C405D">
      <w:pPr>
        <w:pStyle w:val="sssubhead1"/>
      </w:pPr>
      <w:r>
        <w:t>Revenue Budget</w:t>
      </w:r>
    </w:p>
    <w:p w14:paraId="6544B644" w14:textId="77777777" w:rsidR="00591426" w:rsidRPr="006D45C8" w:rsidRDefault="00591426" w:rsidP="00F72E0D">
      <w:pPr>
        <w:pStyle w:val="BodyTextIndent"/>
        <w:ind w:left="0"/>
      </w:pPr>
    </w:p>
    <w:p w14:paraId="6544B645" w14:textId="22BFA900" w:rsidR="00B70594" w:rsidRDefault="00B70594" w:rsidP="00B70594">
      <w:pPr>
        <w:ind w:left="720"/>
        <w:rPr>
          <w:rFonts w:ascii="Arial" w:hAnsi="Arial" w:cs="Arial"/>
        </w:rPr>
      </w:pPr>
      <w:r w:rsidRPr="00F2729C">
        <w:rPr>
          <w:rFonts w:ascii="Arial" w:hAnsi="Arial" w:cs="Arial"/>
        </w:rPr>
        <w:t xml:space="preserve">Monitoring </w:t>
      </w:r>
      <w:r>
        <w:rPr>
          <w:rFonts w:ascii="Arial" w:hAnsi="Arial" w:cs="Arial"/>
        </w:rPr>
        <w:t>has continued on the</w:t>
      </w:r>
      <w:r w:rsidRPr="00F2729C">
        <w:rPr>
          <w:rFonts w:ascii="Arial" w:hAnsi="Arial" w:cs="Arial"/>
        </w:rPr>
        <w:t xml:space="preserve"> revenue budgets and capital programme for </w:t>
      </w:r>
      <w:r>
        <w:rPr>
          <w:rFonts w:ascii="Arial" w:hAnsi="Arial" w:cs="Arial"/>
        </w:rPr>
        <w:t>201</w:t>
      </w:r>
      <w:r w:rsidR="005C5CBA">
        <w:rPr>
          <w:rFonts w:ascii="Arial" w:hAnsi="Arial" w:cs="Arial"/>
        </w:rPr>
        <w:t>4</w:t>
      </w:r>
      <w:r>
        <w:rPr>
          <w:rFonts w:ascii="Arial" w:hAnsi="Arial" w:cs="Arial"/>
        </w:rPr>
        <w:t>/1</w:t>
      </w:r>
      <w:r w:rsidR="005C5CBA">
        <w:rPr>
          <w:rFonts w:ascii="Arial" w:hAnsi="Arial" w:cs="Arial"/>
        </w:rPr>
        <w:t>5</w:t>
      </w:r>
      <w:r w:rsidR="00D25306">
        <w:rPr>
          <w:rFonts w:ascii="Arial" w:hAnsi="Arial" w:cs="Arial"/>
        </w:rPr>
        <w:t>.  T</w:t>
      </w:r>
      <w:r w:rsidRPr="00F2729C">
        <w:rPr>
          <w:rFonts w:ascii="Arial" w:hAnsi="Arial" w:cs="Arial"/>
        </w:rPr>
        <w:t xml:space="preserve">he position </w:t>
      </w:r>
      <w:r>
        <w:rPr>
          <w:rFonts w:ascii="Arial" w:hAnsi="Arial" w:cs="Arial"/>
        </w:rPr>
        <w:t>to December</w:t>
      </w:r>
      <w:r w:rsidRPr="00F2729C">
        <w:rPr>
          <w:rFonts w:ascii="Arial" w:hAnsi="Arial" w:cs="Arial"/>
        </w:rPr>
        <w:t xml:space="preserve"> </w:t>
      </w:r>
      <w:r w:rsidR="00BE50ED">
        <w:rPr>
          <w:rFonts w:ascii="Arial" w:hAnsi="Arial" w:cs="Arial"/>
        </w:rPr>
        <w:t>201</w:t>
      </w:r>
      <w:r w:rsidR="005C5CBA">
        <w:rPr>
          <w:rFonts w:ascii="Arial" w:hAnsi="Arial" w:cs="Arial"/>
        </w:rPr>
        <w:t>4</w:t>
      </w:r>
      <w:r w:rsidR="00BE50ED">
        <w:rPr>
          <w:rFonts w:ascii="Arial" w:hAnsi="Arial" w:cs="Arial"/>
        </w:rPr>
        <w:t xml:space="preserve"> </w:t>
      </w:r>
      <w:r w:rsidRPr="00F2729C">
        <w:rPr>
          <w:rFonts w:ascii="Arial" w:hAnsi="Arial" w:cs="Arial"/>
        </w:rPr>
        <w:t>can now be reported</w:t>
      </w:r>
      <w:r>
        <w:rPr>
          <w:rFonts w:ascii="Arial" w:hAnsi="Arial" w:cs="Arial"/>
        </w:rPr>
        <w:t xml:space="preserve"> and is shown on the following page</w:t>
      </w:r>
      <w:r w:rsidRPr="00F2729C">
        <w:rPr>
          <w:rFonts w:ascii="Arial" w:hAnsi="Arial" w:cs="Arial"/>
        </w:rPr>
        <w:t>.</w:t>
      </w:r>
    </w:p>
    <w:p w14:paraId="6544B646" w14:textId="77777777" w:rsidR="00591426" w:rsidRDefault="00591426" w:rsidP="00F72E0D">
      <w:pPr>
        <w:pStyle w:val="BodyTextIndent"/>
      </w:pPr>
    </w:p>
    <w:p w14:paraId="6544B647" w14:textId="77777777" w:rsidR="0086335E" w:rsidRPr="0086335E" w:rsidRDefault="0086335E" w:rsidP="0086335E">
      <w:pPr>
        <w:rPr>
          <w:rFonts w:ascii="Arial" w:hAnsi="Arial" w:cs="Arial"/>
        </w:rPr>
      </w:pPr>
      <w:r>
        <w:br w:type="page"/>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1225"/>
      </w:tblGrid>
      <w:tr w:rsidR="0086335E" w:rsidRPr="00A17B67" w14:paraId="6544B64D" w14:textId="77777777" w:rsidTr="001B0389">
        <w:trPr>
          <w:trHeight w:val="699"/>
          <w:tblHeader/>
        </w:trPr>
        <w:tc>
          <w:tcPr>
            <w:tcW w:w="8081" w:type="dxa"/>
            <w:tcBorders>
              <w:bottom w:val="single" w:sz="4" w:space="0" w:color="auto"/>
            </w:tcBorders>
          </w:tcPr>
          <w:p w14:paraId="6544B648" w14:textId="77777777" w:rsidR="0086335E" w:rsidRPr="00514F6C" w:rsidRDefault="0086335E" w:rsidP="004E797E">
            <w:pPr>
              <w:pStyle w:val="BodyTextIndent"/>
              <w:ind w:left="0"/>
              <w:rPr>
                <w:b/>
                <w:sz w:val="28"/>
                <w:szCs w:val="28"/>
              </w:rPr>
            </w:pPr>
          </w:p>
          <w:p w14:paraId="6544B649" w14:textId="77777777" w:rsidR="0086335E" w:rsidRPr="00514F6C" w:rsidRDefault="0086335E" w:rsidP="004E797E">
            <w:pPr>
              <w:pStyle w:val="BodyTextIndent"/>
              <w:ind w:left="0"/>
              <w:rPr>
                <w:b/>
                <w:color w:val="FF0000"/>
                <w:sz w:val="28"/>
                <w:szCs w:val="28"/>
              </w:rPr>
            </w:pPr>
          </w:p>
        </w:tc>
        <w:tc>
          <w:tcPr>
            <w:tcW w:w="1225" w:type="dxa"/>
            <w:tcBorders>
              <w:bottom w:val="single" w:sz="4" w:space="0" w:color="auto"/>
            </w:tcBorders>
          </w:tcPr>
          <w:p w14:paraId="6544B64A" w14:textId="77777777" w:rsidR="0086335E" w:rsidRPr="0086335E" w:rsidRDefault="0086335E" w:rsidP="004E797E">
            <w:pPr>
              <w:pStyle w:val="BodyTextIndent"/>
              <w:ind w:left="0"/>
              <w:jc w:val="center"/>
              <w:rPr>
                <w:b/>
                <w:sz w:val="22"/>
                <w:szCs w:val="22"/>
              </w:rPr>
            </w:pPr>
            <w:r w:rsidRPr="0086335E">
              <w:rPr>
                <w:b/>
                <w:sz w:val="22"/>
                <w:szCs w:val="22"/>
              </w:rPr>
              <w:t>(Over) / Under</w:t>
            </w:r>
          </w:p>
          <w:p w14:paraId="6544B64B" w14:textId="77777777" w:rsidR="0086335E" w:rsidRPr="0086335E" w:rsidRDefault="0086335E" w:rsidP="004E797E">
            <w:pPr>
              <w:pStyle w:val="BodyTextIndent"/>
              <w:ind w:left="0"/>
              <w:jc w:val="center"/>
              <w:rPr>
                <w:b/>
                <w:sz w:val="22"/>
                <w:szCs w:val="22"/>
              </w:rPr>
            </w:pPr>
            <w:r w:rsidRPr="0086335E">
              <w:rPr>
                <w:b/>
                <w:sz w:val="22"/>
                <w:szCs w:val="22"/>
              </w:rPr>
              <w:t>spend</w:t>
            </w:r>
          </w:p>
          <w:p w14:paraId="6544B64C" w14:textId="77777777" w:rsidR="0086335E" w:rsidRPr="0086335E" w:rsidRDefault="0086335E" w:rsidP="001B0389">
            <w:pPr>
              <w:pStyle w:val="BodyTextIndent"/>
              <w:ind w:left="0"/>
              <w:jc w:val="center"/>
              <w:rPr>
                <w:b/>
                <w:sz w:val="22"/>
                <w:szCs w:val="22"/>
              </w:rPr>
            </w:pPr>
            <w:r w:rsidRPr="0086335E">
              <w:rPr>
                <w:b/>
                <w:sz w:val="22"/>
                <w:szCs w:val="22"/>
              </w:rPr>
              <w:t>£’000</w:t>
            </w:r>
          </w:p>
        </w:tc>
      </w:tr>
      <w:tr w:rsidR="0086335E" w14:paraId="6544B660" w14:textId="77777777" w:rsidTr="001B0389">
        <w:tc>
          <w:tcPr>
            <w:tcW w:w="8081" w:type="dxa"/>
            <w:tcBorders>
              <w:top w:val="single" w:sz="4" w:space="0" w:color="auto"/>
              <w:left w:val="single" w:sz="4" w:space="0" w:color="auto"/>
              <w:bottom w:val="nil"/>
              <w:right w:val="single" w:sz="4" w:space="0" w:color="auto"/>
            </w:tcBorders>
          </w:tcPr>
          <w:p w14:paraId="6C8001B2" w14:textId="77777777" w:rsidR="00D25306" w:rsidRDefault="00D25306" w:rsidP="005437E4">
            <w:pPr>
              <w:pStyle w:val="BodyTextIndent"/>
              <w:ind w:left="0"/>
              <w:rPr>
                <w:b/>
              </w:rPr>
            </w:pPr>
          </w:p>
          <w:p w14:paraId="6544B64E" w14:textId="05CDE96D" w:rsidR="001B0389" w:rsidRDefault="005437E4" w:rsidP="005437E4">
            <w:pPr>
              <w:pStyle w:val="BodyTextIndent"/>
              <w:ind w:left="0"/>
            </w:pPr>
            <w:r>
              <w:rPr>
                <w:b/>
              </w:rPr>
              <w:t>Corporate Support –</w:t>
            </w:r>
            <w:r w:rsidR="00D25306">
              <w:t xml:space="preserve"> vacancies and part-</w:t>
            </w:r>
            <w:r>
              <w:t>time posts have resulted in an underspend</w:t>
            </w:r>
          </w:p>
          <w:p w14:paraId="6544B64F" w14:textId="77777777" w:rsidR="005437E4" w:rsidRDefault="005437E4" w:rsidP="005437E4">
            <w:pPr>
              <w:pStyle w:val="BodyTextIndent"/>
              <w:ind w:left="0"/>
            </w:pPr>
          </w:p>
          <w:p w14:paraId="6544B650" w14:textId="2EA7FDC5" w:rsidR="005437E4" w:rsidRDefault="005437E4" w:rsidP="005437E4">
            <w:pPr>
              <w:pStyle w:val="BodyTextIndent"/>
              <w:ind w:left="0"/>
            </w:pPr>
            <w:r w:rsidRPr="005437E4">
              <w:rPr>
                <w:b/>
              </w:rPr>
              <w:t>Executive</w:t>
            </w:r>
            <w:r w:rsidR="00D25306">
              <w:t xml:space="preserve"> – part-</w:t>
            </w:r>
            <w:r>
              <w:t>time posts in Finance have generated underspends</w:t>
            </w:r>
          </w:p>
          <w:p w14:paraId="6544B651" w14:textId="77777777" w:rsidR="005437E4" w:rsidRDefault="005437E4" w:rsidP="005437E4">
            <w:pPr>
              <w:pStyle w:val="BodyTextIndent"/>
              <w:ind w:left="0"/>
            </w:pPr>
          </w:p>
          <w:p w14:paraId="6544B652" w14:textId="77777777" w:rsidR="005437E4" w:rsidRDefault="005437E4" w:rsidP="005437E4">
            <w:pPr>
              <w:pStyle w:val="BodyTextIndent"/>
              <w:ind w:left="0"/>
            </w:pPr>
            <w:r w:rsidRPr="005437E4">
              <w:rPr>
                <w:b/>
              </w:rPr>
              <w:t>Development</w:t>
            </w:r>
            <w:r>
              <w:t xml:space="preserve"> – savings have been identified in pay budgets</w:t>
            </w:r>
          </w:p>
          <w:p w14:paraId="6544B653" w14:textId="77777777" w:rsidR="005437E4" w:rsidRDefault="005437E4" w:rsidP="005437E4">
            <w:pPr>
              <w:pStyle w:val="BodyTextIndent"/>
              <w:ind w:left="0"/>
            </w:pPr>
          </w:p>
          <w:p w14:paraId="6544B654" w14:textId="77777777" w:rsidR="005437E4" w:rsidRDefault="005437E4" w:rsidP="005437E4">
            <w:pPr>
              <w:pStyle w:val="BodyTextIndent"/>
              <w:ind w:left="0"/>
            </w:pPr>
            <w:r w:rsidRPr="005437E4">
              <w:rPr>
                <w:b/>
              </w:rPr>
              <w:t>Planning &amp; Performance</w:t>
            </w:r>
            <w:r>
              <w:t xml:space="preserve"> – a vacant post has been filled during the financial year</w:t>
            </w:r>
          </w:p>
          <w:p w14:paraId="6544B655" w14:textId="77777777" w:rsidR="00977392" w:rsidRPr="005437E4" w:rsidRDefault="00977392" w:rsidP="005437E4">
            <w:pPr>
              <w:pStyle w:val="BodyTextIndent"/>
              <w:ind w:left="0"/>
            </w:pPr>
          </w:p>
        </w:tc>
        <w:tc>
          <w:tcPr>
            <w:tcW w:w="1225" w:type="dxa"/>
            <w:tcBorders>
              <w:top w:val="single" w:sz="4" w:space="0" w:color="auto"/>
              <w:left w:val="single" w:sz="4" w:space="0" w:color="auto"/>
              <w:bottom w:val="nil"/>
              <w:right w:val="single" w:sz="4" w:space="0" w:color="auto"/>
            </w:tcBorders>
          </w:tcPr>
          <w:p w14:paraId="1A5F55E9" w14:textId="77777777" w:rsidR="00B9021D" w:rsidRDefault="00B9021D" w:rsidP="004E797E">
            <w:pPr>
              <w:pStyle w:val="BodyTextIndent"/>
              <w:ind w:left="0"/>
              <w:jc w:val="right"/>
            </w:pPr>
          </w:p>
          <w:p w14:paraId="6544B657" w14:textId="77777777" w:rsidR="005437E4" w:rsidRDefault="005437E4" w:rsidP="004E797E">
            <w:pPr>
              <w:pStyle w:val="BodyTextIndent"/>
              <w:ind w:left="0"/>
              <w:jc w:val="right"/>
            </w:pPr>
            <w:r>
              <w:t>30</w:t>
            </w:r>
          </w:p>
          <w:p w14:paraId="6544B658" w14:textId="77777777" w:rsidR="005437E4" w:rsidRDefault="005437E4" w:rsidP="004E797E">
            <w:pPr>
              <w:pStyle w:val="BodyTextIndent"/>
              <w:ind w:left="0"/>
              <w:jc w:val="right"/>
            </w:pPr>
          </w:p>
          <w:p w14:paraId="07E60E65" w14:textId="77777777" w:rsidR="00D25306" w:rsidRDefault="00D25306" w:rsidP="004E797E">
            <w:pPr>
              <w:pStyle w:val="BodyTextIndent"/>
              <w:ind w:left="0"/>
              <w:jc w:val="right"/>
            </w:pPr>
          </w:p>
          <w:p w14:paraId="6544B659" w14:textId="77777777" w:rsidR="005437E4" w:rsidRDefault="005437E4" w:rsidP="004E797E">
            <w:pPr>
              <w:pStyle w:val="BodyTextIndent"/>
              <w:ind w:left="0"/>
              <w:jc w:val="right"/>
            </w:pPr>
            <w:r>
              <w:t>15</w:t>
            </w:r>
          </w:p>
          <w:p w14:paraId="6544B65A" w14:textId="77777777" w:rsidR="005437E4" w:rsidRDefault="005437E4" w:rsidP="004E797E">
            <w:pPr>
              <w:pStyle w:val="BodyTextIndent"/>
              <w:ind w:left="0"/>
              <w:jc w:val="right"/>
            </w:pPr>
          </w:p>
          <w:p w14:paraId="6544B65B" w14:textId="77777777" w:rsidR="005437E4" w:rsidRDefault="005437E4" w:rsidP="004E797E">
            <w:pPr>
              <w:pStyle w:val="BodyTextIndent"/>
              <w:ind w:left="0"/>
              <w:jc w:val="right"/>
            </w:pPr>
            <w:r>
              <w:t>20</w:t>
            </w:r>
          </w:p>
          <w:p w14:paraId="6544B65C" w14:textId="77777777" w:rsidR="005437E4" w:rsidRDefault="005437E4" w:rsidP="004E797E">
            <w:pPr>
              <w:pStyle w:val="BodyTextIndent"/>
              <w:ind w:left="0"/>
              <w:jc w:val="right"/>
            </w:pPr>
          </w:p>
          <w:p w14:paraId="6544B65D" w14:textId="77777777" w:rsidR="005437E4" w:rsidRDefault="005437E4" w:rsidP="004E797E">
            <w:pPr>
              <w:pStyle w:val="BodyTextIndent"/>
              <w:ind w:left="0"/>
              <w:jc w:val="right"/>
            </w:pPr>
            <w:r>
              <w:t>20</w:t>
            </w:r>
          </w:p>
          <w:p w14:paraId="6544B65E" w14:textId="77777777" w:rsidR="00075A94" w:rsidRDefault="00075A94" w:rsidP="004E797E">
            <w:pPr>
              <w:pStyle w:val="BodyTextIndent"/>
              <w:ind w:left="0"/>
              <w:jc w:val="right"/>
            </w:pPr>
          </w:p>
          <w:p w14:paraId="6544B65F" w14:textId="77777777" w:rsidR="001B0389" w:rsidRDefault="001B0389" w:rsidP="003C1E7B">
            <w:pPr>
              <w:pStyle w:val="BodyTextIndent"/>
              <w:ind w:left="0"/>
              <w:jc w:val="right"/>
            </w:pPr>
          </w:p>
        </w:tc>
      </w:tr>
      <w:tr w:rsidR="001B0389" w:rsidRPr="00A17B67" w14:paraId="6544B679" w14:textId="77777777" w:rsidTr="00830263">
        <w:tc>
          <w:tcPr>
            <w:tcW w:w="8081" w:type="dxa"/>
            <w:tcBorders>
              <w:top w:val="single" w:sz="4" w:space="0" w:color="auto"/>
              <w:left w:val="single" w:sz="4" w:space="0" w:color="auto"/>
              <w:bottom w:val="single" w:sz="4" w:space="0" w:color="auto"/>
              <w:right w:val="single" w:sz="4" w:space="0" w:color="auto"/>
            </w:tcBorders>
          </w:tcPr>
          <w:p w14:paraId="4780B378" w14:textId="77777777" w:rsidR="00D25306" w:rsidRDefault="00D25306" w:rsidP="004E797E">
            <w:pPr>
              <w:pStyle w:val="BodyTextIndent"/>
              <w:ind w:left="0"/>
              <w:rPr>
                <w:b/>
              </w:rPr>
            </w:pPr>
          </w:p>
          <w:p w14:paraId="6544B661" w14:textId="77777777" w:rsidR="0046464F" w:rsidRDefault="0024123B" w:rsidP="004E797E">
            <w:pPr>
              <w:pStyle w:val="BodyTextIndent"/>
              <w:ind w:left="0"/>
            </w:pPr>
            <w:r w:rsidRPr="0024123B">
              <w:rPr>
                <w:b/>
              </w:rPr>
              <w:t>Communications</w:t>
            </w:r>
            <w:r>
              <w:t xml:space="preserve"> – savings following use of Government grant for revenue costs, associated with the Control Room project</w:t>
            </w:r>
          </w:p>
          <w:p w14:paraId="6544B662" w14:textId="77777777" w:rsidR="00977392" w:rsidRDefault="00977392" w:rsidP="004E797E">
            <w:pPr>
              <w:pStyle w:val="BodyTextIndent"/>
              <w:ind w:left="0"/>
            </w:pPr>
          </w:p>
          <w:p w14:paraId="6544B663" w14:textId="7F809245" w:rsidR="00977392" w:rsidRDefault="00977392" w:rsidP="00977392">
            <w:pPr>
              <w:pStyle w:val="BodyTextIndent"/>
              <w:ind w:left="0"/>
            </w:pPr>
            <w:r w:rsidRPr="00977392">
              <w:rPr>
                <w:b/>
              </w:rPr>
              <w:t>Uniforms</w:t>
            </w:r>
            <w:r>
              <w:t xml:space="preserve"> – a</w:t>
            </w:r>
            <w:r w:rsidR="00D25306">
              <w:t>dditional funds required for personal protective equipment</w:t>
            </w:r>
            <w:r>
              <w:t xml:space="preserve"> for secondments, and specialist clothing for Water First Responders</w:t>
            </w:r>
          </w:p>
          <w:p w14:paraId="6544B664" w14:textId="77777777" w:rsidR="00977392" w:rsidRDefault="00977392" w:rsidP="00977392">
            <w:pPr>
              <w:pStyle w:val="BodyTextIndent"/>
              <w:ind w:left="0"/>
            </w:pPr>
          </w:p>
          <w:p w14:paraId="6544B665" w14:textId="155C3048" w:rsidR="00977392" w:rsidRDefault="00977392" w:rsidP="00977392">
            <w:pPr>
              <w:pStyle w:val="BodyTextIndent"/>
              <w:ind w:left="0"/>
            </w:pPr>
            <w:r w:rsidRPr="00977392">
              <w:rPr>
                <w:b/>
              </w:rPr>
              <w:t>Debt Charges</w:t>
            </w:r>
            <w:r>
              <w:t xml:space="preserve"> – changes in policy relating to funding of capital schemes has resulted in a reduction in debt charges – the budget ha</w:t>
            </w:r>
            <w:r w:rsidR="00D25306">
              <w:t>s been reduced for future years</w:t>
            </w:r>
          </w:p>
          <w:p w14:paraId="6544B666" w14:textId="77777777" w:rsidR="00977392" w:rsidRDefault="00977392" w:rsidP="00977392">
            <w:pPr>
              <w:pStyle w:val="BodyTextIndent"/>
              <w:ind w:left="0"/>
            </w:pPr>
          </w:p>
          <w:p w14:paraId="6544B667" w14:textId="77777777" w:rsidR="00977392" w:rsidRDefault="00977392" w:rsidP="00977392">
            <w:pPr>
              <w:pStyle w:val="BodyTextIndent"/>
              <w:ind w:left="0"/>
            </w:pPr>
            <w:r w:rsidRPr="00977392">
              <w:rPr>
                <w:b/>
              </w:rPr>
              <w:t>Interest on Investments</w:t>
            </w:r>
            <w:r>
              <w:t xml:space="preserve"> – income in excess of budgeted levels has been predicted </w:t>
            </w:r>
          </w:p>
          <w:p w14:paraId="6544B668" w14:textId="77777777" w:rsidR="00D87A6A" w:rsidRDefault="00D87A6A" w:rsidP="00977392">
            <w:pPr>
              <w:pStyle w:val="BodyTextIndent"/>
              <w:ind w:left="0"/>
            </w:pPr>
          </w:p>
          <w:p w14:paraId="6544B669" w14:textId="37E52317" w:rsidR="00D87A6A" w:rsidRDefault="00D87A6A" w:rsidP="00977392">
            <w:pPr>
              <w:pStyle w:val="BodyTextIndent"/>
              <w:ind w:left="0"/>
            </w:pPr>
            <w:r w:rsidRPr="00D87A6A">
              <w:rPr>
                <w:b/>
              </w:rPr>
              <w:t>Pensions</w:t>
            </w:r>
            <w:r w:rsidR="00D25306">
              <w:t xml:space="preserve"> – the budget for ill-</w:t>
            </w:r>
            <w:r>
              <w:t>health contributions to the Pensions Account is likely to be underspent</w:t>
            </w:r>
          </w:p>
          <w:p w14:paraId="6544B66A" w14:textId="77777777" w:rsidR="00977392" w:rsidRPr="001B0389" w:rsidRDefault="00977392" w:rsidP="00977392">
            <w:pPr>
              <w:pStyle w:val="BodyTextIndent"/>
              <w:ind w:left="0"/>
            </w:pPr>
          </w:p>
        </w:tc>
        <w:tc>
          <w:tcPr>
            <w:tcW w:w="1225" w:type="dxa"/>
            <w:tcBorders>
              <w:top w:val="single" w:sz="4" w:space="0" w:color="auto"/>
              <w:left w:val="single" w:sz="4" w:space="0" w:color="auto"/>
              <w:bottom w:val="single" w:sz="4" w:space="0" w:color="auto"/>
              <w:right w:val="single" w:sz="4" w:space="0" w:color="auto"/>
            </w:tcBorders>
          </w:tcPr>
          <w:p w14:paraId="74F3D1A1" w14:textId="77777777" w:rsidR="00B9021D" w:rsidRDefault="00B9021D" w:rsidP="0024123B">
            <w:pPr>
              <w:pStyle w:val="BodyTextIndent"/>
              <w:ind w:left="0"/>
              <w:jc w:val="right"/>
            </w:pPr>
          </w:p>
          <w:p w14:paraId="6544B66B" w14:textId="77777777" w:rsidR="0046464F" w:rsidRDefault="0024123B" w:rsidP="0024123B">
            <w:pPr>
              <w:pStyle w:val="BodyTextIndent"/>
              <w:ind w:left="0"/>
              <w:jc w:val="right"/>
            </w:pPr>
            <w:bookmarkStart w:id="0" w:name="_GoBack"/>
            <w:bookmarkEnd w:id="0"/>
            <w:r w:rsidRPr="0024123B">
              <w:t>149</w:t>
            </w:r>
          </w:p>
          <w:p w14:paraId="6544B66C" w14:textId="77777777" w:rsidR="00977392" w:rsidRDefault="00977392" w:rsidP="0024123B">
            <w:pPr>
              <w:pStyle w:val="BodyTextIndent"/>
              <w:ind w:left="0"/>
              <w:jc w:val="right"/>
            </w:pPr>
          </w:p>
          <w:p w14:paraId="6544B66D" w14:textId="77777777" w:rsidR="00977392" w:rsidRDefault="00977392" w:rsidP="0024123B">
            <w:pPr>
              <w:pStyle w:val="BodyTextIndent"/>
              <w:ind w:left="0"/>
              <w:jc w:val="right"/>
            </w:pPr>
          </w:p>
          <w:p w14:paraId="6544B66E" w14:textId="77777777" w:rsidR="00977392" w:rsidRDefault="00977392" w:rsidP="0024123B">
            <w:pPr>
              <w:pStyle w:val="BodyTextIndent"/>
              <w:ind w:left="0"/>
              <w:jc w:val="right"/>
            </w:pPr>
            <w:r>
              <w:t>(51)</w:t>
            </w:r>
          </w:p>
          <w:p w14:paraId="6544B66F" w14:textId="77777777" w:rsidR="00977392" w:rsidRDefault="00977392" w:rsidP="0024123B">
            <w:pPr>
              <w:pStyle w:val="BodyTextIndent"/>
              <w:ind w:left="0"/>
              <w:jc w:val="right"/>
            </w:pPr>
          </w:p>
          <w:p w14:paraId="6544B670" w14:textId="77777777" w:rsidR="00977392" w:rsidRDefault="00977392" w:rsidP="0024123B">
            <w:pPr>
              <w:pStyle w:val="BodyTextIndent"/>
              <w:ind w:left="0"/>
              <w:jc w:val="right"/>
            </w:pPr>
          </w:p>
          <w:p w14:paraId="6544B671" w14:textId="77777777" w:rsidR="00977392" w:rsidRDefault="00977392" w:rsidP="0024123B">
            <w:pPr>
              <w:pStyle w:val="BodyTextIndent"/>
              <w:ind w:left="0"/>
              <w:jc w:val="right"/>
            </w:pPr>
            <w:r>
              <w:t>160</w:t>
            </w:r>
          </w:p>
          <w:p w14:paraId="6544B672" w14:textId="77777777" w:rsidR="00977392" w:rsidRDefault="00977392" w:rsidP="0024123B">
            <w:pPr>
              <w:pStyle w:val="BodyTextIndent"/>
              <w:ind w:left="0"/>
              <w:jc w:val="right"/>
            </w:pPr>
          </w:p>
          <w:p w14:paraId="6544B673" w14:textId="77777777" w:rsidR="00977392" w:rsidRDefault="00977392" w:rsidP="0024123B">
            <w:pPr>
              <w:pStyle w:val="BodyTextIndent"/>
              <w:ind w:left="0"/>
              <w:jc w:val="right"/>
            </w:pPr>
          </w:p>
          <w:p w14:paraId="6544B674" w14:textId="77777777" w:rsidR="00977392" w:rsidRDefault="00977392" w:rsidP="0024123B">
            <w:pPr>
              <w:pStyle w:val="BodyTextIndent"/>
              <w:ind w:left="0"/>
              <w:jc w:val="right"/>
            </w:pPr>
          </w:p>
          <w:p w14:paraId="6544B675" w14:textId="77777777" w:rsidR="00977392" w:rsidRDefault="00977392" w:rsidP="0024123B">
            <w:pPr>
              <w:pStyle w:val="BodyTextIndent"/>
              <w:ind w:left="0"/>
              <w:jc w:val="right"/>
            </w:pPr>
            <w:r>
              <w:t>20</w:t>
            </w:r>
          </w:p>
          <w:p w14:paraId="6544B676" w14:textId="77777777" w:rsidR="00D87A6A" w:rsidRDefault="00D87A6A" w:rsidP="0024123B">
            <w:pPr>
              <w:pStyle w:val="BodyTextIndent"/>
              <w:ind w:left="0"/>
              <w:jc w:val="right"/>
            </w:pPr>
          </w:p>
          <w:p w14:paraId="6544B677" w14:textId="77777777" w:rsidR="00D87A6A" w:rsidRDefault="00D87A6A" w:rsidP="0024123B">
            <w:pPr>
              <w:pStyle w:val="BodyTextIndent"/>
              <w:ind w:left="0"/>
              <w:jc w:val="right"/>
            </w:pPr>
          </w:p>
          <w:p w14:paraId="6544B678" w14:textId="77777777" w:rsidR="00D87A6A" w:rsidRPr="0024123B" w:rsidRDefault="00D87A6A" w:rsidP="0024123B">
            <w:pPr>
              <w:pStyle w:val="BodyTextIndent"/>
              <w:ind w:left="0"/>
              <w:jc w:val="right"/>
            </w:pPr>
            <w:r>
              <w:t>150</w:t>
            </w:r>
          </w:p>
        </w:tc>
      </w:tr>
      <w:tr w:rsidR="00631AE6" w:rsidRPr="00A17B67" w14:paraId="6544B67C" w14:textId="77777777" w:rsidTr="00196B74">
        <w:tc>
          <w:tcPr>
            <w:tcW w:w="8081" w:type="dxa"/>
            <w:tcBorders>
              <w:top w:val="single" w:sz="4" w:space="0" w:color="auto"/>
              <w:left w:val="single" w:sz="4" w:space="0" w:color="auto"/>
              <w:bottom w:val="single" w:sz="4" w:space="0" w:color="auto"/>
              <w:right w:val="single" w:sz="4" w:space="0" w:color="auto"/>
            </w:tcBorders>
          </w:tcPr>
          <w:p w14:paraId="0FFFE1DD" w14:textId="77777777" w:rsidR="00D25306" w:rsidRDefault="00D25306" w:rsidP="004E797E">
            <w:pPr>
              <w:pStyle w:val="BodyTextIndent"/>
              <w:ind w:left="0"/>
              <w:rPr>
                <w:b/>
              </w:rPr>
            </w:pPr>
          </w:p>
          <w:p w14:paraId="6544B67A" w14:textId="77777777" w:rsidR="00631AE6" w:rsidRDefault="00631AE6" w:rsidP="004E797E">
            <w:pPr>
              <w:pStyle w:val="BodyTextIndent"/>
              <w:ind w:left="0"/>
              <w:rPr>
                <w:b/>
              </w:rPr>
            </w:pPr>
            <w:r>
              <w:rPr>
                <w:b/>
              </w:rPr>
              <w:t>Total</w:t>
            </w:r>
          </w:p>
        </w:tc>
        <w:tc>
          <w:tcPr>
            <w:tcW w:w="1225" w:type="dxa"/>
            <w:tcBorders>
              <w:top w:val="single" w:sz="4" w:space="0" w:color="auto"/>
              <w:left w:val="single" w:sz="4" w:space="0" w:color="auto"/>
            </w:tcBorders>
          </w:tcPr>
          <w:p w14:paraId="2493E7D2" w14:textId="77777777" w:rsidR="00D25306" w:rsidRDefault="00D25306" w:rsidP="004E797E">
            <w:pPr>
              <w:pStyle w:val="BodyTextIndent"/>
              <w:ind w:left="0"/>
              <w:jc w:val="right"/>
              <w:rPr>
                <w:b/>
              </w:rPr>
            </w:pPr>
          </w:p>
          <w:p w14:paraId="6544B67B" w14:textId="77777777" w:rsidR="00631AE6" w:rsidRDefault="00D87A6A" w:rsidP="004E797E">
            <w:pPr>
              <w:pStyle w:val="BodyTextIndent"/>
              <w:ind w:left="0"/>
              <w:jc w:val="right"/>
              <w:rPr>
                <w:b/>
              </w:rPr>
            </w:pPr>
            <w:r>
              <w:rPr>
                <w:b/>
              </w:rPr>
              <w:t>513</w:t>
            </w:r>
          </w:p>
        </w:tc>
      </w:tr>
    </w:tbl>
    <w:p w14:paraId="6544B67D" w14:textId="77777777" w:rsidR="0086335E" w:rsidRDefault="0086335E" w:rsidP="0086335E">
      <w:pPr>
        <w:pStyle w:val="BodyTextIndent"/>
        <w:ind w:left="0"/>
      </w:pPr>
    </w:p>
    <w:p w14:paraId="6544B67E" w14:textId="77777777" w:rsidR="008B4106" w:rsidRPr="006D45C8" w:rsidRDefault="008B4106" w:rsidP="0086335E">
      <w:pPr>
        <w:pStyle w:val="BodyTextIndent"/>
        <w:ind w:left="0"/>
      </w:pPr>
    </w:p>
    <w:p w14:paraId="6544B67F" w14:textId="77777777" w:rsidR="0086335E" w:rsidRDefault="00BF63B4" w:rsidP="0086335E">
      <w:pPr>
        <w:pStyle w:val="BodyTextIndent"/>
      </w:pPr>
      <w:r>
        <w:t>V</w:t>
      </w:r>
      <w:r w:rsidR="0086335E">
        <w:t xml:space="preserve">ariances will be transferred to individual contingencies, where they will be managed with future variances. </w:t>
      </w:r>
    </w:p>
    <w:p w14:paraId="6544B680" w14:textId="77777777" w:rsidR="00374B94" w:rsidRPr="00D564D7" w:rsidRDefault="00374B94" w:rsidP="00374B94">
      <w:pPr>
        <w:pStyle w:val="BodyTextIndent"/>
        <w:ind w:left="0"/>
      </w:pPr>
    </w:p>
    <w:p w14:paraId="6544B681" w14:textId="77777777" w:rsidR="00374B94" w:rsidRPr="0065556B" w:rsidRDefault="00374B94" w:rsidP="00374B94">
      <w:pPr>
        <w:ind w:left="709"/>
        <w:rPr>
          <w:rFonts w:ascii="Arial" w:hAnsi="Arial" w:cs="Arial"/>
          <w:b/>
        </w:rPr>
      </w:pPr>
      <w:r w:rsidRPr="0065556B">
        <w:rPr>
          <w:rFonts w:ascii="Arial" w:hAnsi="Arial" w:cs="Arial"/>
          <w:b/>
        </w:rPr>
        <w:t>Service Transformation Programme</w:t>
      </w:r>
    </w:p>
    <w:p w14:paraId="6544B682" w14:textId="77777777" w:rsidR="00374B94" w:rsidRPr="0065556B" w:rsidRDefault="00374B94" w:rsidP="00374B94">
      <w:pPr>
        <w:ind w:left="567"/>
        <w:rPr>
          <w:rFonts w:ascii="Arial" w:hAnsi="Arial" w:cs="Arial"/>
        </w:rPr>
      </w:pPr>
    </w:p>
    <w:p w14:paraId="6544B683" w14:textId="4D57C9A5" w:rsidR="00374B94" w:rsidRPr="0065556B" w:rsidRDefault="00374B94" w:rsidP="00374B94">
      <w:pPr>
        <w:ind w:left="709"/>
        <w:rPr>
          <w:rFonts w:ascii="Arial" w:hAnsi="Arial" w:cs="Arial"/>
        </w:rPr>
      </w:pPr>
      <w:r w:rsidRPr="0065556B">
        <w:rPr>
          <w:rFonts w:ascii="Arial" w:hAnsi="Arial" w:cs="Arial"/>
        </w:rPr>
        <w:t>Costs of staff seconded to projects within the Service Transformation Programme total £</w:t>
      </w:r>
      <w:r>
        <w:rPr>
          <w:rFonts w:ascii="Arial" w:hAnsi="Arial" w:cs="Arial"/>
        </w:rPr>
        <w:t>60</w:t>
      </w:r>
      <w:r w:rsidRPr="006206E3">
        <w:rPr>
          <w:rFonts w:ascii="Arial" w:hAnsi="Arial" w:cs="Arial"/>
        </w:rPr>
        <w:t>,000</w:t>
      </w:r>
      <w:r w:rsidRPr="0065556B">
        <w:rPr>
          <w:rFonts w:ascii="Arial" w:hAnsi="Arial" w:cs="Arial"/>
        </w:rPr>
        <w:t xml:space="preserve"> for </w:t>
      </w:r>
      <w:r>
        <w:rPr>
          <w:rFonts w:ascii="Arial" w:hAnsi="Arial" w:cs="Arial"/>
        </w:rPr>
        <w:t>October to December 2014</w:t>
      </w:r>
      <w:r w:rsidR="00D25306">
        <w:rPr>
          <w:rFonts w:ascii="Arial" w:hAnsi="Arial" w:cs="Arial"/>
        </w:rPr>
        <w:t>.  These costs include human resources and information and communications technology (ICT)</w:t>
      </w:r>
      <w:r w:rsidRPr="0065556B">
        <w:rPr>
          <w:rFonts w:ascii="Arial" w:hAnsi="Arial" w:cs="Arial"/>
        </w:rPr>
        <w:t xml:space="preserve"> support, and also costs associated with the implementation of SharePoint.</w:t>
      </w:r>
    </w:p>
    <w:p w14:paraId="6544B684" w14:textId="77777777" w:rsidR="00374B94" w:rsidRPr="005C0E78" w:rsidRDefault="00374B94" w:rsidP="00374B94">
      <w:pPr>
        <w:pStyle w:val="PlainText"/>
        <w:rPr>
          <w:rFonts w:ascii="Arial" w:hAnsi="Arial" w:cs="Arial"/>
          <w:sz w:val="24"/>
          <w:szCs w:val="24"/>
          <w:lang w:eastAsia="en-US"/>
        </w:rPr>
      </w:pPr>
    </w:p>
    <w:p w14:paraId="6544B685" w14:textId="02C136C6" w:rsidR="00374B94" w:rsidRPr="00341866" w:rsidRDefault="00374B94" w:rsidP="00374B94">
      <w:pPr>
        <w:ind w:left="709"/>
        <w:rPr>
          <w:rFonts w:ascii="Arial" w:hAnsi="Arial" w:cs="Arial"/>
          <w:b/>
        </w:rPr>
      </w:pPr>
      <w:r w:rsidRPr="00341866">
        <w:rPr>
          <w:rFonts w:ascii="Arial" w:hAnsi="Arial" w:cs="Arial"/>
          <w:b/>
        </w:rPr>
        <w:t>Memorandum of Understanding</w:t>
      </w:r>
      <w:r w:rsidR="00D25306">
        <w:rPr>
          <w:rFonts w:ascii="Arial" w:hAnsi="Arial" w:cs="Arial"/>
          <w:b/>
        </w:rPr>
        <w:t xml:space="preserve"> (MoU)</w:t>
      </w:r>
      <w:r w:rsidRPr="00341866">
        <w:rPr>
          <w:rFonts w:ascii="Arial" w:hAnsi="Arial" w:cs="Arial"/>
          <w:b/>
        </w:rPr>
        <w:t xml:space="preserve"> – Control Room Project</w:t>
      </w:r>
    </w:p>
    <w:p w14:paraId="6544B686" w14:textId="77777777" w:rsidR="00374B94" w:rsidRPr="00341866" w:rsidRDefault="00374B94" w:rsidP="00374B94">
      <w:pPr>
        <w:ind w:left="567"/>
        <w:rPr>
          <w:rFonts w:ascii="Arial" w:hAnsi="Arial" w:cs="Arial"/>
          <w:b/>
        </w:rPr>
      </w:pPr>
      <w:r w:rsidRPr="00341866">
        <w:rPr>
          <w:rFonts w:ascii="Arial" w:hAnsi="Arial" w:cs="Arial"/>
          <w:b/>
        </w:rPr>
        <w:tab/>
      </w:r>
    </w:p>
    <w:p w14:paraId="6544B687" w14:textId="2DFAA61E" w:rsidR="00374B94" w:rsidRPr="00341866" w:rsidRDefault="00374B94" w:rsidP="00374B94">
      <w:pPr>
        <w:ind w:left="709"/>
        <w:rPr>
          <w:rFonts w:ascii="Arial" w:hAnsi="Arial" w:cs="Arial"/>
        </w:rPr>
      </w:pPr>
      <w:r w:rsidRPr="00341866">
        <w:rPr>
          <w:rFonts w:ascii="Arial" w:hAnsi="Arial" w:cs="Arial"/>
        </w:rPr>
        <w:t xml:space="preserve">Costs of staff seconded to the MOU programme of </w:t>
      </w:r>
      <w:r w:rsidRPr="006206E3">
        <w:rPr>
          <w:rFonts w:ascii="Arial" w:hAnsi="Arial" w:cs="Arial"/>
        </w:rPr>
        <w:t>projects total £</w:t>
      </w:r>
      <w:r>
        <w:rPr>
          <w:rFonts w:ascii="Arial" w:hAnsi="Arial" w:cs="Arial"/>
        </w:rPr>
        <w:t>43</w:t>
      </w:r>
      <w:r w:rsidRPr="006206E3">
        <w:rPr>
          <w:rFonts w:ascii="Arial" w:hAnsi="Arial" w:cs="Arial"/>
        </w:rPr>
        <w:t>,000 for</w:t>
      </w:r>
      <w:r w:rsidRPr="00341866">
        <w:rPr>
          <w:rFonts w:ascii="Arial" w:hAnsi="Arial" w:cs="Arial"/>
        </w:rPr>
        <w:t xml:space="preserve"> </w:t>
      </w:r>
      <w:r>
        <w:rPr>
          <w:rFonts w:ascii="Arial" w:hAnsi="Arial" w:cs="Arial"/>
        </w:rPr>
        <w:t>October to December 2014</w:t>
      </w:r>
      <w:r w:rsidRPr="00341866">
        <w:rPr>
          <w:rFonts w:ascii="Arial" w:hAnsi="Arial" w:cs="Arial"/>
        </w:rPr>
        <w:t>.  These costs include the Project Manager and ICT support.</w:t>
      </w:r>
    </w:p>
    <w:p w14:paraId="6544B688" w14:textId="77777777" w:rsidR="00374B94" w:rsidRPr="00341866" w:rsidRDefault="00374B94" w:rsidP="00374B94">
      <w:pPr>
        <w:pStyle w:val="PlainText"/>
        <w:ind w:left="567"/>
        <w:rPr>
          <w:rFonts w:ascii="Arial" w:hAnsi="Arial" w:cs="Arial"/>
          <w:sz w:val="24"/>
          <w:szCs w:val="24"/>
          <w:lang w:eastAsia="en-US"/>
        </w:rPr>
      </w:pPr>
    </w:p>
    <w:p w14:paraId="6544B689" w14:textId="77777777" w:rsidR="00307C37" w:rsidRDefault="00374B94" w:rsidP="004D7421">
      <w:pPr>
        <w:pStyle w:val="PlainText"/>
        <w:ind w:left="720"/>
        <w:rPr>
          <w:rFonts w:ascii="Arial" w:hAnsi="Arial" w:cs="Arial"/>
          <w:sz w:val="24"/>
          <w:szCs w:val="24"/>
          <w:lang w:eastAsia="en-US"/>
        </w:rPr>
      </w:pPr>
      <w:r>
        <w:rPr>
          <w:rFonts w:ascii="Arial" w:hAnsi="Arial" w:cs="Arial"/>
          <w:sz w:val="24"/>
          <w:szCs w:val="24"/>
          <w:lang w:eastAsia="en-US"/>
        </w:rPr>
        <w:lastRenderedPageBreak/>
        <w:t>Funds are available for these staff costs, within the Service Transformation Programme Staff Reserve and the ICT Reserve (Control grant) respectively.  Members are requested to approve the transfer of funds from reserves into the revenue budget.</w:t>
      </w:r>
    </w:p>
    <w:p w14:paraId="77A97D55" w14:textId="77777777" w:rsidR="00373429" w:rsidRPr="007C405D" w:rsidRDefault="00373429" w:rsidP="004D7421">
      <w:pPr>
        <w:pStyle w:val="PlainText"/>
        <w:ind w:left="720"/>
        <w:rPr>
          <w:rFonts w:ascii="Arial" w:hAnsi="Arial" w:cs="Arial"/>
          <w:sz w:val="22"/>
          <w:szCs w:val="22"/>
          <w:lang w:eastAsia="en-US"/>
        </w:rPr>
      </w:pPr>
    </w:p>
    <w:p w14:paraId="6544B68A" w14:textId="77777777" w:rsidR="00591426" w:rsidRDefault="004B52C7" w:rsidP="007C405D">
      <w:pPr>
        <w:pStyle w:val="sssubhead1"/>
      </w:pPr>
      <w:r>
        <w:t>2</w:t>
      </w:r>
      <w:r w:rsidR="0086335E">
        <w:t>01</w:t>
      </w:r>
      <w:r w:rsidR="003C1E7B">
        <w:t>4</w:t>
      </w:r>
      <w:r w:rsidR="0086335E">
        <w:t>/1</w:t>
      </w:r>
      <w:r w:rsidR="003C1E7B">
        <w:t>5</w:t>
      </w:r>
      <w:r w:rsidR="0086335E">
        <w:t xml:space="preserve"> Prudential Indicators</w:t>
      </w:r>
    </w:p>
    <w:p w14:paraId="6544B68B" w14:textId="77777777" w:rsidR="00591426" w:rsidRPr="007C405D" w:rsidRDefault="00591426" w:rsidP="00F72E0D">
      <w:pPr>
        <w:widowControl w:val="0"/>
        <w:rPr>
          <w:rFonts w:ascii="Arial" w:hAnsi="Arial" w:cs="Arial"/>
          <w:snapToGrid w:val="0"/>
          <w:sz w:val="22"/>
          <w:szCs w:val="22"/>
          <w:lang w:eastAsia="en-US"/>
        </w:rPr>
      </w:pPr>
    </w:p>
    <w:p w14:paraId="6544B68C" w14:textId="72B42FB4" w:rsidR="00F35554" w:rsidRDefault="00F35554" w:rsidP="00F35554">
      <w:pPr>
        <w:ind w:left="720"/>
        <w:rPr>
          <w:rFonts w:ascii="Arial" w:hAnsi="Arial" w:cs="Arial"/>
        </w:rPr>
      </w:pPr>
      <w:r>
        <w:rPr>
          <w:rFonts w:ascii="Arial" w:hAnsi="Arial" w:cs="Arial"/>
        </w:rPr>
        <w:t>In line with</w:t>
      </w:r>
      <w:r w:rsidR="00D25306">
        <w:rPr>
          <w:rFonts w:ascii="Arial" w:hAnsi="Arial" w:cs="Arial"/>
        </w:rPr>
        <w:t xml:space="preserve"> the Chartered Institute of Finance and Public Accountancy (CIPFA)</w:t>
      </w:r>
      <w:r>
        <w:rPr>
          <w:rFonts w:ascii="Arial" w:hAnsi="Arial" w:cs="Arial"/>
        </w:rPr>
        <w:t xml:space="preserve"> Prudential Code for Capital Finance, the Treasurer is required to establish procedures to monitor </w:t>
      </w:r>
      <w:r w:rsidR="00D25306">
        <w:rPr>
          <w:rFonts w:ascii="Arial" w:hAnsi="Arial" w:cs="Arial"/>
        </w:rPr>
        <w:t>performance against all forward-</w:t>
      </w:r>
      <w:r>
        <w:rPr>
          <w:rFonts w:ascii="Arial" w:hAnsi="Arial" w:cs="Arial"/>
        </w:rPr>
        <w:t>looking prudential indicators and, in particular, that net external borrowing does not (except in the short term) exceed the requirement to borrow for capital purposes.</w:t>
      </w:r>
    </w:p>
    <w:p w14:paraId="6544B68D" w14:textId="77777777" w:rsidR="00F35554" w:rsidRPr="007C405D" w:rsidRDefault="00F35554" w:rsidP="00F35554">
      <w:pPr>
        <w:rPr>
          <w:rFonts w:ascii="Arial" w:hAnsi="Arial" w:cs="Arial"/>
          <w:sz w:val="22"/>
          <w:szCs w:val="22"/>
        </w:rPr>
      </w:pPr>
    </w:p>
    <w:p w14:paraId="6544B68E" w14:textId="77777777" w:rsidR="00F35554" w:rsidRDefault="00F35554" w:rsidP="00F35554">
      <w:pPr>
        <w:ind w:left="720"/>
        <w:rPr>
          <w:rFonts w:ascii="Arial" w:hAnsi="Arial" w:cs="Arial"/>
        </w:rPr>
      </w:pPr>
      <w:r>
        <w:rPr>
          <w:rFonts w:ascii="Arial" w:hAnsi="Arial" w:cs="Arial"/>
        </w:rPr>
        <w:t>The Fire Authority has established that it will receive regular monitoring reports during the year; the position to the end of December 201</w:t>
      </w:r>
      <w:r w:rsidR="003C1E7B">
        <w:rPr>
          <w:rFonts w:ascii="Arial" w:hAnsi="Arial" w:cs="Arial"/>
        </w:rPr>
        <w:t>4</w:t>
      </w:r>
      <w:r>
        <w:rPr>
          <w:rFonts w:ascii="Arial" w:hAnsi="Arial" w:cs="Arial"/>
        </w:rPr>
        <w:t xml:space="preserve"> is shown below.</w:t>
      </w:r>
    </w:p>
    <w:p w14:paraId="6544B68F" w14:textId="77777777" w:rsidR="00F35554" w:rsidRPr="007C405D" w:rsidRDefault="00F35554" w:rsidP="00F35554">
      <w:pPr>
        <w:rPr>
          <w:rFonts w:ascii="Arial" w:hAnsi="Arial" w:cs="Arial"/>
          <w:sz w:val="22"/>
          <w:szCs w:val="22"/>
        </w:rPr>
      </w:pPr>
    </w:p>
    <w:p w14:paraId="6544B690" w14:textId="77777777" w:rsidR="00F35554" w:rsidRPr="006A1998" w:rsidRDefault="00F35554" w:rsidP="00F35554">
      <w:pPr>
        <w:rPr>
          <w:rFonts w:ascii="Arial" w:hAnsi="Arial" w:cs="Arial"/>
          <w:b/>
        </w:rPr>
      </w:pPr>
      <w:r>
        <w:rPr>
          <w:rFonts w:ascii="Arial" w:hAnsi="Arial" w:cs="Arial"/>
        </w:rPr>
        <w:tab/>
      </w:r>
      <w:r w:rsidRPr="006A1998">
        <w:rPr>
          <w:rFonts w:ascii="Arial" w:hAnsi="Arial" w:cs="Arial"/>
          <w:b/>
        </w:rPr>
        <w:t>Capital Financing Requirement</w:t>
      </w:r>
      <w:r>
        <w:rPr>
          <w:rFonts w:ascii="Arial" w:hAnsi="Arial" w:cs="Arial"/>
          <w:b/>
        </w:rPr>
        <w:t xml:space="preserve"> (£</w:t>
      </w:r>
      <w:r w:rsidR="00237D00">
        <w:rPr>
          <w:rFonts w:ascii="Arial" w:hAnsi="Arial" w:cs="Arial"/>
          <w:b/>
        </w:rPr>
        <w:t>4.407</w:t>
      </w:r>
      <w:r w:rsidR="004F37E1">
        <w:rPr>
          <w:rFonts w:ascii="Arial" w:hAnsi="Arial" w:cs="Arial"/>
          <w:b/>
        </w:rPr>
        <w:t>m</w:t>
      </w:r>
      <w:r>
        <w:rPr>
          <w:rFonts w:ascii="Arial" w:hAnsi="Arial" w:cs="Arial"/>
          <w:b/>
        </w:rPr>
        <w:t>)</w:t>
      </w:r>
    </w:p>
    <w:p w14:paraId="059704CE" w14:textId="77777777" w:rsidR="00D25306" w:rsidRDefault="00D25306" w:rsidP="00F35554">
      <w:pPr>
        <w:ind w:left="720"/>
        <w:rPr>
          <w:rFonts w:ascii="Arial" w:hAnsi="Arial" w:cs="Arial"/>
        </w:rPr>
      </w:pPr>
    </w:p>
    <w:p w14:paraId="6544B692" w14:textId="77777777" w:rsidR="00F35554" w:rsidRDefault="00F35554" w:rsidP="00F35554">
      <w:pPr>
        <w:ind w:left="720"/>
        <w:rPr>
          <w:rFonts w:ascii="Arial" w:hAnsi="Arial" w:cs="Arial"/>
        </w:rPr>
      </w:pPr>
      <w:r>
        <w:rPr>
          <w:rFonts w:ascii="Arial" w:hAnsi="Arial" w:cs="Arial"/>
        </w:rPr>
        <w:t xml:space="preserve">This is the amount required by the Authority to fund its capital investment.  This includes all capital investment expected to be made this year, less any contributions from revenue or grant. </w:t>
      </w:r>
    </w:p>
    <w:p w14:paraId="6544B693" w14:textId="77777777" w:rsidR="00F35554" w:rsidRPr="007C405D" w:rsidRDefault="00F35554" w:rsidP="00F35554">
      <w:pPr>
        <w:rPr>
          <w:rFonts w:ascii="Arial" w:hAnsi="Arial" w:cs="Arial"/>
          <w:sz w:val="22"/>
          <w:szCs w:val="22"/>
        </w:rPr>
      </w:pPr>
    </w:p>
    <w:p w14:paraId="6544B694" w14:textId="77777777" w:rsidR="00F35554" w:rsidRPr="006A1998" w:rsidRDefault="00F35554" w:rsidP="00F35554">
      <w:pPr>
        <w:rPr>
          <w:rFonts w:ascii="Arial" w:hAnsi="Arial" w:cs="Arial"/>
          <w:b/>
        </w:rPr>
      </w:pPr>
      <w:r>
        <w:rPr>
          <w:rFonts w:ascii="Arial" w:hAnsi="Arial" w:cs="Arial"/>
        </w:rPr>
        <w:tab/>
      </w:r>
      <w:r w:rsidRPr="006A1998">
        <w:rPr>
          <w:rFonts w:ascii="Arial" w:hAnsi="Arial" w:cs="Arial"/>
          <w:b/>
        </w:rPr>
        <w:t>Authorised Limit for External Debt (£</w:t>
      </w:r>
      <w:r w:rsidR="00237D00">
        <w:rPr>
          <w:rFonts w:ascii="Arial" w:hAnsi="Arial" w:cs="Arial"/>
          <w:b/>
        </w:rPr>
        <w:t>7.407</w:t>
      </w:r>
      <w:r w:rsidR="004F37E1">
        <w:rPr>
          <w:rFonts w:ascii="Arial" w:hAnsi="Arial" w:cs="Arial"/>
          <w:b/>
        </w:rPr>
        <w:t>m</w:t>
      </w:r>
      <w:r w:rsidRPr="006A1998">
        <w:rPr>
          <w:rFonts w:ascii="Arial" w:hAnsi="Arial" w:cs="Arial"/>
          <w:b/>
        </w:rPr>
        <w:t>)</w:t>
      </w:r>
    </w:p>
    <w:p w14:paraId="0C850F60" w14:textId="77777777" w:rsidR="00D25306" w:rsidRDefault="00D25306" w:rsidP="00F35554">
      <w:pPr>
        <w:ind w:left="720"/>
        <w:rPr>
          <w:rFonts w:ascii="Arial" w:hAnsi="Arial" w:cs="Arial"/>
        </w:rPr>
      </w:pPr>
    </w:p>
    <w:p w14:paraId="6544B696" w14:textId="77777777" w:rsidR="00F35554" w:rsidRDefault="00F35554" w:rsidP="00F35554">
      <w:pPr>
        <w:ind w:left="720"/>
        <w:rPr>
          <w:rFonts w:ascii="Arial" w:hAnsi="Arial" w:cs="Arial"/>
        </w:rPr>
      </w:pPr>
      <w:r>
        <w:rPr>
          <w:rFonts w:ascii="Arial" w:hAnsi="Arial" w:cs="Arial"/>
        </w:rPr>
        <w:t>The Authorised Limit represents the amount required to fund the Authority’s capital financing, plus a provision for temporary borrowing, should the receipt of revenue money be delayed, although this should happen very rarely.</w:t>
      </w:r>
    </w:p>
    <w:p w14:paraId="6544B697" w14:textId="77777777" w:rsidR="00F35554" w:rsidRPr="007C405D" w:rsidRDefault="00F35554" w:rsidP="00F35554">
      <w:pPr>
        <w:rPr>
          <w:rFonts w:ascii="Arial" w:hAnsi="Arial" w:cs="Arial"/>
          <w:sz w:val="22"/>
          <w:szCs w:val="22"/>
        </w:rPr>
      </w:pPr>
    </w:p>
    <w:p w14:paraId="6544B698" w14:textId="77777777" w:rsidR="00F35554" w:rsidRDefault="00F35554" w:rsidP="00F35554">
      <w:pPr>
        <w:ind w:left="720"/>
        <w:rPr>
          <w:rFonts w:ascii="Arial" w:hAnsi="Arial" w:cs="Arial"/>
        </w:rPr>
      </w:pPr>
      <w:r>
        <w:rPr>
          <w:rFonts w:ascii="Arial" w:hAnsi="Arial" w:cs="Arial"/>
        </w:rPr>
        <w:t xml:space="preserve">Borrowing currently stands at £5.810m, well within the indicator.  </w:t>
      </w:r>
      <w:r w:rsidRPr="00430E62">
        <w:rPr>
          <w:rFonts w:ascii="Arial" w:hAnsi="Arial" w:cs="Arial"/>
        </w:rPr>
        <w:t>No temporary borrowing has been necessary.</w:t>
      </w:r>
      <w:r>
        <w:rPr>
          <w:rFonts w:ascii="Arial" w:hAnsi="Arial" w:cs="Arial"/>
        </w:rPr>
        <w:t xml:space="preserve"> </w:t>
      </w:r>
    </w:p>
    <w:p w14:paraId="6544B699" w14:textId="77777777" w:rsidR="004F37E1" w:rsidRPr="007C405D" w:rsidRDefault="004F37E1" w:rsidP="00F35554">
      <w:pPr>
        <w:rPr>
          <w:rFonts w:ascii="Arial" w:hAnsi="Arial" w:cs="Arial"/>
          <w:sz w:val="22"/>
          <w:szCs w:val="22"/>
        </w:rPr>
      </w:pPr>
    </w:p>
    <w:p w14:paraId="6544B69A" w14:textId="77777777" w:rsidR="00F35554" w:rsidRPr="006A1998" w:rsidRDefault="00F35554" w:rsidP="00F35554">
      <w:pPr>
        <w:ind w:firstLine="720"/>
        <w:rPr>
          <w:rFonts w:ascii="Arial" w:hAnsi="Arial" w:cs="Arial"/>
          <w:b/>
        </w:rPr>
      </w:pPr>
      <w:r w:rsidRPr="006A1998">
        <w:rPr>
          <w:rFonts w:ascii="Arial" w:hAnsi="Arial" w:cs="Arial"/>
          <w:b/>
        </w:rPr>
        <w:t>Operational Boundary (£</w:t>
      </w:r>
      <w:r w:rsidR="004F37E1">
        <w:rPr>
          <w:rFonts w:ascii="Arial" w:hAnsi="Arial" w:cs="Arial"/>
          <w:b/>
        </w:rPr>
        <w:t>5.810m</w:t>
      </w:r>
      <w:r w:rsidRPr="006A1998">
        <w:rPr>
          <w:rFonts w:ascii="Arial" w:hAnsi="Arial" w:cs="Arial"/>
          <w:b/>
        </w:rPr>
        <w:t>)</w:t>
      </w:r>
    </w:p>
    <w:p w14:paraId="64BEF5EE" w14:textId="77777777" w:rsidR="00D25306" w:rsidRDefault="00D25306" w:rsidP="00F35554">
      <w:pPr>
        <w:ind w:left="720"/>
        <w:rPr>
          <w:rFonts w:ascii="Arial" w:hAnsi="Arial" w:cs="Arial"/>
        </w:rPr>
      </w:pPr>
    </w:p>
    <w:p w14:paraId="6544B69C" w14:textId="77777777" w:rsidR="00F35554" w:rsidRDefault="00F35554" w:rsidP="00F35554">
      <w:pPr>
        <w:ind w:left="720"/>
        <w:rPr>
          <w:rFonts w:ascii="Arial" w:hAnsi="Arial" w:cs="Arial"/>
        </w:rPr>
      </w:pPr>
      <w:r>
        <w:rPr>
          <w:rFonts w:ascii="Arial" w:hAnsi="Arial" w:cs="Arial"/>
        </w:rPr>
        <w:t>The Boundary represents the capital investment entered into by the Authority, including any loans to be taken during the year.  Unlike the Authorised Limit, this may be exceeded, although this would require some investigation.</w:t>
      </w:r>
    </w:p>
    <w:p w14:paraId="6544B69D" w14:textId="77777777" w:rsidR="00F35554" w:rsidRPr="007C405D" w:rsidRDefault="00F35554" w:rsidP="00F35554">
      <w:pPr>
        <w:pStyle w:val="BodyTextIndent"/>
        <w:ind w:left="0"/>
        <w:rPr>
          <w:sz w:val="22"/>
          <w:szCs w:val="22"/>
        </w:rPr>
      </w:pPr>
    </w:p>
    <w:p w14:paraId="6544B69E" w14:textId="77777777" w:rsidR="00F35554" w:rsidRPr="009906EB" w:rsidRDefault="00F35554" w:rsidP="00F35554">
      <w:pPr>
        <w:pStyle w:val="BodyTextIndent"/>
        <w:rPr>
          <w:b/>
        </w:rPr>
      </w:pPr>
      <w:r w:rsidRPr="009906EB">
        <w:rPr>
          <w:b/>
        </w:rPr>
        <w:t>Current Investments</w:t>
      </w:r>
    </w:p>
    <w:p w14:paraId="687A0EDB" w14:textId="77777777" w:rsidR="007C405D" w:rsidRDefault="007C405D" w:rsidP="00F35554">
      <w:pPr>
        <w:pStyle w:val="PlainText"/>
        <w:ind w:left="720"/>
        <w:rPr>
          <w:rFonts w:ascii="Arial" w:hAnsi="Arial" w:cs="Arial"/>
          <w:sz w:val="24"/>
          <w:szCs w:val="24"/>
          <w:lang w:eastAsia="en-US"/>
        </w:rPr>
      </w:pPr>
    </w:p>
    <w:p w14:paraId="6544B6A0" w14:textId="77777777" w:rsidR="00F35554" w:rsidRPr="009906EB" w:rsidRDefault="00F35554" w:rsidP="00F35554">
      <w:pPr>
        <w:pStyle w:val="PlainText"/>
        <w:ind w:left="720"/>
        <w:rPr>
          <w:rFonts w:ascii="Arial" w:hAnsi="Arial" w:cs="Arial"/>
          <w:sz w:val="24"/>
          <w:szCs w:val="24"/>
          <w:lang w:eastAsia="en-US"/>
        </w:rPr>
      </w:pPr>
      <w:r w:rsidRPr="009906EB">
        <w:rPr>
          <w:rFonts w:ascii="Arial" w:hAnsi="Arial" w:cs="Arial"/>
          <w:sz w:val="24"/>
          <w:szCs w:val="24"/>
          <w:lang w:eastAsia="en-US"/>
        </w:rPr>
        <w:t>Funds currently invested are shown below:</w:t>
      </w:r>
    </w:p>
    <w:p w14:paraId="6544B6A1" w14:textId="77777777" w:rsidR="00F35554" w:rsidRPr="007C405D" w:rsidRDefault="00F35554" w:rsidP="00F35554">
      <w:pPr>
        <w:pStyle w:val="PlainText"/>
        <w:ind w:left="720"/>
        <w:rPr>
          <w:rFonts w:ascii="Arial" w:hAnsi="Arial" w:cs="Arial"/>
          <w:sz w:val="22"/>
          <w:szCs w:val="22"/>
          <w:lang w:eastAsia="en-US"/>
        </w:rPr>
      </w:pPr>
    </w:p>
    <w:tbl>
      <w:tblPr>
        <w:tblW w:w="0" w:type="auto"/>
        <w:tblInd w:w="828" w:type="dxa"/>
        <w:tblLook w:val="01E0" w:firstRow="1" w:lastRow="1" w:firstColumn="1" w:lastColumn="1" w:noHBand="0" w:noVBand="0"/>
      </w:tblPr>
      <w:tblGrid>
        <w:gridCol w:w="4860"/>
        <w:gridCol w:w="1260"/>
      </w:tblGrid>
      <w:tr w:rsidR="00F35554" w:rsidRPr="009906EB" w14:paraId="6544B6A4" w14:textId="77777777" w:rsidTr="004E797E">
        <w:tc>
          <w:tcPr>
            <w:tcW w:w="4860" w:type="dxa"/>
          </w:tcPr>
          <w:p w14:paraId="6544B6A2"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Nat West</w:t>
            </w:r>
          </w:p>
        </w:tc>
        <w:tc>
          <w:tcPr>
            <w:tcW w:w="1260" w:type="dxa"/>
          </w:tcPr>
          <w:p w14:paraId="6544B6A3"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2.0</w:t>
            </w:r>
            <w:r>
              <w:rPr>
                <w:rFonts w:ascii="Arial" w:hAnsi="Arial" w:cs="Arial"/>
                <w:sz w:val="24"/>
                <w:szCs w:val="24"/>
                <w:lang w:eastAsia="en-US"/>
              </w:rPr>
              <w:t>m</w:t>
            </w:r>
          </w:p>
        </w:tc>
      </w:tr>
      <w:tr w:rsidR="00F35554" w:rsidRPr="009906EB" w14:paraId="6544B6A7" w14:textId="77777777" w:rsidTr="004E797E">
        <w:tc>
          <w:tcPr>
            <w:tcW w:w="4860" w:type="dxa"/>
          </w:tcPr>
          <w:p w14:paraId="6544B6A5"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Lloyds</w:t>
            </w:r>
          </w:p>
        </w:tc>
        <w:tc>
          <w:tcPr>
            <w:tcW w:w="1260" w:type="dxa"/>
          </w:tcPr>
          <w:p w14:paraId="6544B6A6"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2.0</w:t>
            </w:r>
            <w:r>
              <w:rPr>
                <w:rFonts w:ascii="Arial" w:hAnsi="Arial" w:cs="Arial"/>
                <w:sz w:val="24"/>
                <w:szCs w:val="24"/>
                <w:lang w:eastAsia="en-US"/>
              </w:rPr>
              <w:t>m</w:t>
            </w:r>
          </w:p>
        </w:tc>
      </w:tr>
      <w:tr w:rsidR="00F35554" w:rsidRPr="009906EB" w14:paraId="6544B6AA" w14:textId="77777777" w:rsidTr="004E797E">
        <w:tc>
          <w:tcPr>
            <w:tcW w:w="4860" w:type="dxa"/>
          </w:tcPr>
          <w:p w14:paraId="6544B6A8"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Barclays</w:t>
            </w:r>
          </w:p>
        </w:tc>
        <w:tc>
          <w:tcPr>
            <w:tcW w:w="1260" w:type="dxa"/>
          </w:tcPr>
          <w:p w14:paraId="6544B6A9"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1.9</w:t>
            </w:r>
            <w:r>
              <w:rPr>
                <w:rFonts w:ascii="Arial" w:hAnsi="Arial" w:cs="Arial"/>
                <w:sz w:val="24"/>
                <w:szCs w:val="24"/>
                <w:lang w:eastAsia="en-US"/>
              </w:rPr>
              <w:t>m</w:t>
            </w:r>
          </w:p>
        </w:tc>
      </w:tr>
      <w:tr w:rsidR="00F35554" w:rsidRPr="009906EB" w14:paraId="6544B6AD" w14:textId="77777777" w:rsidTr="004E797E">
        <w:tc>
          <w:tcPr>
            <w:tcW w:w="4860" w:type="dxa"/>
          </w:tcPr>
          <w:p w14:paraId="6544B6AB"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Borough of Telford &amp; Wrekin</w:t>
            </w:r>
          </w:p>
        </w:tc>
        <w:tc>
          <w:tcPr>
            <w:tcW w:w="1260" w:type="dxa"/>
          </w:tcPr>
          <w:p w14:paraId="6544B6AC"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2.0</w:t>
            </w:r>
            <w:r>
              <w:rPr>
                <w:rFonts w:ascii="Arial" w:hAnsi="Arial" w:cs="Arial"/>
                <w:sz w:val="24"/>
                <w:szCs w:val="24"/>
                <w:lang w:eastAsia="en-US"/>
              </w:rPr>
              <w:t>m</w:t>
            </w:r>
          </w:p>
        </w:tc>
      </w:tr>
      <w:tr w:rsidR="00F35554" w:rsidRPr="009906EB" w14:paraId="6544B6B0" w14:textId="77777777" w:rsidTr="004E797E">
        <w:tc>
          <w:tcPr>
            <w:tcW w:w="4860" w:type="dxa"/>
          </w:tcPr>
          <w:p w14:paraId="6544B6AE"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Salford City Council</w:t>
            </w:r>
          </w:p>
        </w:tc>
        <w:tc>
          <w:tcPr>
            <w:tcW w:w="1260" w:type="dxa"/>
          </w:tcPr>
          <w:p w14:paraId="6544B6AF"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1.0</w:t>
            </w:r>
            <w:r>
              <w:rPr>
                <w:rFonts w:ascii="Arial" w:hAnsi="Arial" w:cs="Arial"/>
                <w:sz w:val="24"/>
                <w:szCs w:val="24"/>
                <w:lang w:eastAsia="en-US"/>
              </w:rPr>
              <w:t>m</w:t>
            </w:r>
          </w:p>
        </w:tc>
      </w:tr>
      <w:tr w:rsidR="00F35554" w:rsidRPr="009906EB" w14:paraId="6544B6B3" w14:textId="77777777" w:rsidTr="004E797E">
        <w:tc>
          <w:tcPr>
            <w:tcW w:w="4860" w:type="dxa"/>
          </w:tcPr>
          <w:p w14:paraId="6544B6B1"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Rochdale MBC</w:t>
            </w:r>
          </w:p>
        </w:tc>
        <w:tc>
          <w:tcPr>
            <w:tcW w:w="1260" w:type="dxa"/>
          </w:tcPr>
          <w:p w14:paraId="6544B6B2"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1.0</w:t>
            </w:r>
            <w:r>
              <w:rPr>
                <w:rFonts w:ascii="Arial" w:hAnsi="Arial" w:cs="Arial"/>
                <w:sz w:val="24"/>
                <w:szCs w:val="24"/>
                <w:lang w:eastAsia="en-US"/>
              </w:rPr>
              <w:t>m</w:t>
            </w:r>
          </w:p>
        </w:tc>
      </w:tr>
      <w:tr w:rsidR="00F35554" w:rsidRPr="009906EB" w14:paraId="6544B6B6" w14:textId="77777777" w:rsidTr="004E797E">
        <w:tc>
          <w:tcPr>
            <w:tcW w:w="4860" w:type="dxa"/>
          </w:tcPr>
          <w:p w14:paraId="6544B6B4"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Bournemouth BC</w:t>
            </w:r>
          </w:p>
        </w:tc>
        <w:tc>
          <w:tcPr>
            <w:tcW w:w="1260" w:type="dxa"/>
          </w:tcPr>
          <w:p w14:paraId="6544B6B5"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1.2</w:t>
            </w:r>
            <w:r>
              <w:rPr>
                <w:rFonts w:ascii="Arial" w:hAnsi="Arial" w:cs="Arial"/>
                <w:sz w:val="24"/>
                <w:szCs w:val="24"/>
                <w:lang w:eastAsia="en-US"/>
              </w:rPr>
              <w:t>m</w:t>
            </w:r>
          </w:p>
        </w:tc>
      </w:tr>
      <w:tr w:rsidR="00F35554" w:rsidRPr="009906EB" w14:paraId="6544B6B9" w14:textId="77777777" w:rsidTr="004E797E">
        <w:tc>
          <w:tcPr>
            <w:tcW w:w="4860" w:type="dxa"/>
          </w:tcPr>
          <w:p w14:paraId="6544B6B7" w14:textId="77777777" w:rsidR="00F35554"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 xml:space="preserve">Nationwide </w:t>
            </w:r>
          </w:p>
        </w:tc>
        <w:tc>
          <w:tcPr>
            <w:tcW w:w="1260" w:type="dxa"/>
          </w:tcPr>
          <w:p w14:paraId="6544B6B8" w14:textId="77777777" w:rsidR="00F35554" w:rsidRPr="009906EB" w:rsidRDefault="004156A6" w:rsidP="002C7F45">
            <w:pPr>
              <w:pStyle w:val="PlainText"/>
              <w:jc w:val="center"/>
              <w:rPr>
                <w:rFonts w:ascii="Arial" w:hAnsi="Arial" w:cs="Arial"/>
                <w:sz w:val="24"/>
                <w:szCs w:val="24"/>
                <w:lang w:eastAsia="en-US"/>
              </w:rPr>
            </w:pPr>
            <w:r>
              <w:rPr>
                <w:rFonts w:ascii="Arial" w:hAnsi="Arial" w:cs="Arial"/>
                <w:sz w:val="24"/>
                <w:szCs w:val="24"/>
                <w:lang w:eastAsia="en-US"/>
              </w:rPr>
              <w:t>£</w:t>
            </w:r>
            <w:r w:rsidR="002C7F45">
              <w:rPr>
                <w:rFonts w:ascii="Arial" w:hAnsi="Arial" w:cs="Arial"/>
                <w:sz w:val="24"/>
                <w:szCs w:val="24"/>
                <w:lang w:eastAsia="en-US"/>
              </w:rPr>
              <w:t>2.0</w:t>
            </w:r>
            <w:r>
              <w:rPr>
                <w:rFonts w:ascii="Arial" w:hAnsi="Arial" w:cs="Arial"/>
                <w:sz w:val="24"/>
                <w:szCs w:val="24"/>
                <w:lang w:eastAsia="en-US"/>
              </w:rPr>
              <w:t>m</w:t>
            </w:r>
          </w:p>
        </w:tc>
      </w:tr>
      <w:tr w:rsidR="002C7F45" w:rsidRPr="009906EB" w14:paraId="6544B6BC" w14:textId="77777777" w:rsidTr="004E797E">
        <w:tc>
          <w:tcPr>
            <w:tcW w:w="4860" w:type="dxa"/>
          </w:tcPr>
          <w:p w14:paraId="6544B6BA" w14:textId="77777777" w:rsidR="002C7F45"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Blaenau Gwent CBC</w:t>
            </w:r>
          </w:p>
        </w:tc>
        <w:tc>
          <w:tcPr>
            <w:tcW w:w="1260" w:type="dxa"/>
          </w:tcPr>
          <w:p w14:paraId="6544B6BB" w14:textId="77777777" w:rsidR="002C7F45" w:rsidRPr="009906EB" w:rsidRDefault="002C7F45" w:rsidP="002C7F45">
            <w:pPr>
              <w:pStyle w:val="PlainText"/>
              <w:jc w:val="center"/>
              <w:rPr>
                <w:rFonts w:ascii="Arial" w:hAnsi="Arial" w:cs="Arial"/>
                <w:sz w:val="24"/>
                <w:szCs w:val="24"/>
                <w:lang w:eastAsia="en-US"/>
              </w:rPr>
            </w:pPr>
            <w:r>
              <w:rPr>
                <w:rFonts w:ascii="Arial" w:hAnsi="Arial" w:cs="Arial"/>
                <w:sz w:val="24"/>
                <w:szCs w:val="24"/>
                <w:lang w:eastAsia="en-US"/>
              </w:rPr>
              <w:t>£1.0m</w:t>
            </w:r>
          </w:p>
        </w:tc>
      </w:tr>
      <w:tr w:rsidR="002C7F45" w:rsidRPr="009906EB" w14:paraId="6544B6BF" w14:textId="77777777" w:rsidTr="004E797E">
        <w:tc>
          <w:tcPr>
            <w:tcW w:w="4860" w:type="dxa"/>
          </w:tcPr>
          <w:p w14:paraId="6544B6BD" w14:textId="77777777" w:rsidR="002C7F45"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Debt Management Office</w:t>
            </w:r>
          </w:p>
        </w:tc>
        <w:tc>
          <w:tcPr>
            <w:tcW w:w="1260" w:type="dxa"/>
          </w:tcPr>
          <w:p w14:paraId="6544B6BE" w14:textId="77777777" w:rsidR="002C7F45" w:rsidRPr="009906EB" w:rsidRDefault="002C7F45" w:rsidP="002C7F45">
            <w:pPr>
              <w:pStyle w:val="PlainText"/>
              <w:jc w:val="center"/>
              <w:rPr>
                <w:rFonts w:ascii="Arial" w:hAnsi="Arial" w:cs="Arial"/>
                <w:sz w:val="24"/>
                <w:szCs w:val="24"/>
                <w:lang w:eastAsia="en-US"/>
              </w:rPr>
            </w:pPr>
            <w:r>
              <w:rPr>
                <w:rFonts w:ascii="Arial" w:hAnsi="Arial" w:cs="Arial"/>
                <w:sz w:val="24"/>
                <w:szCs w:val="24"/>
                <w:lang w:eastAsia="en-US"/>
              </w:rPr>
              <w:t>£0.9m</w:t>
            </w:r>
          </w:p>
        </w:tc>
      </w:tr>
      <w:tr w:rsidR="002C7F45" w:rsidRPr="009906EB" w14:paraId="6544B6C2" w14:textId="77777777" w:rsidTr="004E797E">
        <w:tc>
          <w:tcPr>
            <w:tcW w:w="4860" w:type="dxa"/>
          </w:tcPr>
          <w:p w14:paraId="6544B6C0" w14:textId="77777777" w:rsidR="002C7F45" w:rsidRPr="009906EB" w:rsidRDefault="002C7F45" w:rsidP="004E797E">
            <w:pPr>
              <w:pStyle w:val="PlainText"/>
              <w:rPr>
                <w:rFonts w:ascii="Arial" w:hAnsi="Arial" w:cs="Arial"/>
                <w:sz w:val="24"/>
                <w:szCs w:val="24"/>
                <w:lang w:eastAsia="en-US"/>
              </w:rPr>
            </w:pPr>
            <w:r>
              <w:rPr>
                <w:rFonts w:ascii="Arial" w:hAnsi="Arial" w:cs="Arial"/>
                <w:sz w:val="24"/>
                <w:szCs w:val="24"/>
                <w:lang w:eastAsia="en-US"/>
              </w:rPr>
              <w:t xml:space="preserve">Handelsbanken </w:t>
            </w:r>
          </w:p>
        </w:tc>
        <w:tc>
          <w:tcPr>
            <w:tcW w:w="1260" w:type="dxa"/>
          </w:tcPr>
          <w:p w14:paraId="6544B6C1" w14:textId="77777777" w:rsidR="002C7F45" w:rsidRPr="009906EB" w:rsidRDefault="002C7F45" w:rsidP="002C7F45">
            <w:pPr>
              <w:pStyle w:val="PlainText"/>
              <w:jc w:val="center"/>
              <w:rPr>
                <w:rFonts w:ascii="Arial" w:hAnsi="Arial" w:cs="Arial"/>
                <w:sz w:val="24"/>
                <w:szCs w:val="24"/>
                <w:lang w:eastAsia="en-US"/>
              </w:rPr>
            </w:pPr>
            <w:r>
              <w:rPr>
                <w:rFonts w:ascii="Arial" w:hAnsi="Arial" w:cs="Arial"/>
                <w:sz w:val="24"/>
                <w:szCs w:val="24"/>
                <w:lang w:eastAsia="en-US"/>
              </w:rPr>
              <w:t>£2.0m</w:t>
            </w:r>
          </w:p>
        </w:tc>
      </w:tr>
      <w:tr w:rsidR="00F35554" w:rsidRPr="008B4106" w14:paraId="6544B6C8" w14:textId="77777777" w:rsidTr="004E797E">
        <w:tc>
          <w:tcPr>
            <w:tcW w:w="4860" w:type="dxa"/>
          </w:tcPr>
          <w:p w14:paraId="6544B6C6" w14:textId="77777777" w:rsidR="00F35554" w:rsidRPr="008B4106" w:rsidRDefault="00F35554" w:rsidP="004E797E">
            <w:pPr>
              <w:pStyle w:val="PlainText"/>
              <w:rPr>
                <w:rFonts w:ascii="Arial" w:hAnsi="Arial" w:cs="Arial"/>
                <w:b/>
                <w:sz w:val="24"/>
                <w:szCs w:val="24"/>
                <w:lang w:eastAsia="en-US"/>
              </w:rPr>
            </w:pPr>
            <w:r w:rsidRPr="008B4106">
              <w:rPr>
                <w:rFonts w:ascii="Arial" w:hAnsi="Arial" w:cs="Arial"/>
                <w:b/>
                <w:sz w:val="24"/>
                <w:szCs w:val="24"/>
                <w:lang w:eastAsia="en-US"/>
              </w:rPr>
              <w:t>Total</w:t>
            </w:r>
          </w:p>
        </w:tc>
        <w:tc>
          <w:tcPr>
            <w:tcW w:w="1260" w:type="dxa"/>
          </w:tcPr>
          <w:p w14:paraId="6544B6C7" w14:textId="77777777" w:rsidR="00F35554" w:rsidRPr="008B4106" w:rsidRDefault="004156A6" w:rsidP="002C7F45">
            <w:pPr>
              <w:pStyle w:val="PlainText"/>
              <w:jc w:val="center"/>
              <w:rPr>
                <w:rFonts w:ascii="Arial" w:hAnsi="Arial" w:cs="Arial"/>
                <w:b/>
                <w:sz w:val="24"/>
                <w:szCs w:val="24"/>
                <w:lang w:eastAsia="en-US"/>
              </w:rPr>
            </w:pPr>
            <w:r w:rsidRPr="008B4106">
              <w:rPr>
                <w:rFonts w:ascii="Arial" w:hAnsi="Arial" w:cs="Arial"/>
                <w:b/>
                <w:sz w:val="24"/>
                <w:szCs w:val="24"/>
                <w:lang w:eastAsia="en-US"/>
              </w:rPr>
              <w:t>£</w:t>
            </w:r>
            <w:r w:rsidR="002C7F45">
              <w:rPr>
                <w:rFonts w:ascii="Arial" w:hAnsi="Arial" w:cs="Arial"/>
                <w:b/>
                <w:sz w:val="24"/>
                <w:szCs w:val="24"/>
                <w:lang w:eastAsia="en-US"/>
              </w:rPr>
              <w:t>17.0</w:t>
            </w:r>
            <w:r w:rsidRPr="008B4106">
              <w:rPr>
                <w:rFonts w:ascii="Arial" w:hAnsi="Arial" w:cs="Arial"/>
                <w:b/>
                <w:sz w:val="24"/>
                <w:szCs w:val="24"/>
                <w:lang w:eastAsia="en-US"/>
              </w:rPr>
              <w:t>m</w:t>
            </w:r>
          </w:p>
        </w:tc>
      </w:tr>
    </w:tbl>
    <w:p w14:paraId="6544B6CA" w14:textId="77777777" w:rsidR="00F72E0D" w:rsidRDefault="00117B5F" w:rsidP="007C405D">
      <w:pPr>
        <w:pStyle w:val="sssubhead1"/>
      </w:pPr>
      <w:r>
        <w:lastRenderedPageBreak/>
        <w:t xml:space="preserve">Financial Implications </w:t>
      </w:r>
    </w:p>
    <w:p w14:paraId="6544B6CB" w14:textId="77777777" w:rsidR="00F72E0D" w:rsidRPr="006D45C8" w:rsidRDefault="00F72E0D" w:rsidP="00F72E0D">
      <w:pPr>
        <w:widowControl w:val="0"/>
        <w:rPr>
          <w:rFonts w:ascii="Arial" w:hAnsi="Arial" w:cs="Arial"/>
          <w:snapToGrid w:val="0"/>
          <w:lang w:eastAsia="en-US"/>
        </w:rPr>
      </w:pPr>
    </w:p>
    <w:p w14:paraId="6544B6CC" w14:textId="77777777" w:rsidR="00F72E0D" w:rsidRPr="00D00436" w:rsidRDefault="00752180" w:rsidP="00F72E0D">
      <w:pPr>
        <w:widowControl w:val="0"/>
        <w:ind w:left="720"/>
        <w:rPr>
          <w:rFonts w:ascii="Arial" w:hAnsi="Arial" w:cs="Arial"/>
          <w:snapToGrid w:val="0"/>
          <w:lang w:eastAsia="en-US"/>
        </w:rPr>
      </w:pPr>
      <w:r w:rsidRPr="00D00436">
        <w:rPr>
          <w:rFonts w:ascii="Arial" w:hAnsi="Arial" w:cs="Arial"/>
          <w:snapToGrid w:val="0"/>
          <w:lang w:eastAsia="en-US"/>
        </w:rPr>
        <w:t xml:space="preserve">The financial implications are </w:t>
      </w:r>
      <w:r w:rsidR="008B4106">
        <w:rPr>
          <w:rFonts w:ascii="Arial" w:hAnsi="Arial" w:cs="Arial"/>
          <w:snapToGrid w:val="0"/>
          <w:lang w:eastAsia="en-US"/>
        </w:rPr>
        <w:t>laid out in the main body of this</w:t>
      </w:r>
      <w:r w:rsidRPr="00D00436">
        <w:rPr>
          <w:rFonts w:ascii="Arial" w:hAnsi="Arial" w:cs="Arial"/>
          <w:snapToGrid w:val="0"/>
          <w:lang w:eastAsia="en-US"/>
        </w:rPr>
        <w:t xml:space="preserve"> report.</w:t>
      </w:r>
    </w:p>
    <w:p w14:paraId="6544B6CD" w14:textId="77777777" w:rsidR="00F72E0D" w:rsidRPr="006D45C8" w:rsidRDefault="00F72E0D" w:rsidP="00F72E0D">
      <w:pPr>
        <w:widowControl w:val="0"/>
        <w:rPr>
          <w:rFonts w:ascii="Arial" w:hAnsi="Arial" w:cs="Arial"/>
          <w:snapToGrid w:val="0"/>
          <w:lang w:eastAsia="en-US"/>
        </w:rPr>
      </w:pPr>
    </w:p>
    <w:p w14:paraId="6544B6CE" w14:textId="77777777" w:rsidR="00591426" w:rsidRDefault="00591426" w:rsidP="007C405D">
      <w:pPr>
        <w:pStyle w:val="sssubhead1"/>
        <w:rPr>
          <w:snapToGrid w:val="0"/>
          <w:lang w:eastAsia="en-US"/>
        </w:rPr>
      </w:pPr>
      <w:r>
        <w:rPr>
          <w:snapToGrid w:val="0"/>
          <w:lang w:eastAsia="en-US"/>
        </w:rPr>
        <w:t>Legal Comment</w:t>
      </w:r>
    </w:p>
    <w:p w14:paraId="6544B6CF" w14:textId="77777777" w:rsidR="00591426" w:rsidRPr="006D45C8" w:rsidRDefault="00591426" w:rsidP="00F72E0D">
      <w:pPr>
        <w:widowControl w:val="0"/>
        <w:rPr>
          <w:rFonts w:ascii="Arial" w:hAnsi="Arial" w:cs="Arial"/>
          <w:snapToGrid w:val="0"/>
          <w:lang w:eastAsia="en-US"/>
        </w:rPr>
      </w:pPr>
    </w:p>
    <w:p w14:paraId="6544B6D0" w14:textId="77777777" w:rsidR="00591426" w:rsidRPr="00D00436" w:rsidRDefault="00D00436" w:rsidP="00F72E0D">
      <w:pPr>
        <w:widowControl w:val="0"/>
        <w:ind w:left="720"/>
        <w:rPr>
          <w:rFonts w:ascii="Arial" w:hAnsi="Arial" w:cs="Arial"/>
          <w:snapToGrid w:val="0"/>
          <w:lang w:eastAsia="en-US"/>
        </w:rPr>
      </w:pPr>
      <w:r w:rsidRPr="00D00436">
        <w:rPr>
          <w:rFonts w:ascii="Arial" w:hAnsi="Arial" w:cs="Arial"/>
          <w:snapToGrid w:val="0"/>
          <w:lang w:eastAsia="en-US"/>
        </w:rPr>
        <w:t>There are no direct leg</w:t>
      </w:r>
      <w:r w:rsidR="008B4106">
        <w:rPr>
          <w:rFonts w:ascii="Arial" w:hAnsi="Arial" w:cs="Arial"/>
          <w:snapToGrid w:val="0"/>
          <w:lang w:eastAsia="en-US"/>
        </w:rPr>
        <w:t>al implications arising from this</w:t>
      </w:r>
      <w:r w:rsidRPr="00D00436">
        <w:rPr>
          <w:rFonts w:ascii="Arial" w:hAnsi="Arial" w:cs="Arial"/>
          <w:snapToGrid w:val="0"/>
          <w:lang w:eastAsia="en-US"/>
        </w:rPr>
        <w:t xml:space="preserve"> report.</w:t>
      </w:r>
      <w:r w:rsidR="007B08DA" w:rsidRPr="00D00436">
        <w:rPr>
          <w:rFonts w:ascii="Arial" w:hAnsi="Arial" w:cs="Arial"/>
          <w:snapToGrid w:val="0"/>
          <w:lang w:eastAsia="en-US"/>
        </w:rPr>
        <w:t xml:space="preserve">  </w:t>
      </w:r>
    </w:p>
    <w:p w14:paraId="6544B6D1" w14:textId="77777777" w:rsidR="009C7FA8" w:rsidRPr="00D00436" w:rsidRDefault="009C7FA8" w:rsidP="00F72E0D">
      <w:pPr>
        <w:widowControl w:val="0"/>
        <w:rPr>
          <w:rFonts w:ascii="Arial" w:hAnsi="Arial" w:cs="Arial"/>
          <w:snapToGrid w:val="0"/>
          <w:lang w:eastAsia="en-US"/>
        </w:rPr>
      </w:pPr>
    </w:p>
    <w:p w14:paraId="6544B6D2" w14:textId="77777777" w:rsidR="0082640F" w:rsidRDefault="0082640F" w:rsidP="007C405D">
      <w:pPr>
        <w:pStyle w:val="sssubhead1"/>
        <w:rPr>
          <w:snapToGrid w:val="0"/>
          <w:lang w:eastAsia="en-US"/>
        </w:rPr>
      </w:pPr>
      <w:r>
        <w:rPr>
          <w:snapToGrid w:val="0"/>
          <w:lang w:eastAsia="en-US"/>
        </w:rPr>
        <w:t>Initial Impact Assessment</w:t>
      </w:r>
    </w:p>
    <w:p w14:paraId="6544B6D3" w14:textId="77777777" w:rsidR="0082640F" w:rsidRPr="007C405D" w:rsidRDefault="0082640F" w:rsidP="0082640F">
      <w:pPr>
        <w:pStyle w:val="PlainText"/>
        <w:rPr>
          <w:rFonts w:ascii="Arial" w:hAnsi="Arial" w:cs="Arial"/>
          <w:sz w:val="24"/>
          <w:szCs w:val="24"/>
          <w:lang w:eastAsia="en-US"/>
        </w:rPr>
      </w:pPr>
    </w:p>
    <w:p w14:paraId="6544B6D4" w14:textId="77777777" w:rsidR="0082640F" w:rsidRPr="007C405D" w:rsidRDefault="002435F9" w:rsidP="009F2A2D">
      <w:pPr>
        <w:pStyle w:val="PlainText"/>
        <w:ind w:left="720"/>
        <w:rPr>
          <w:rFonts w:ascii="Arial" w:hAnsi="Arial" w:cs="Arial"/>
          <w:sz w:val="24"/>
          <w:szCs w:val="24"/>
          <w:lang w:val="en-US"/>
        </w:rPr>
      </w:pPr>
      <w:r w:rsidRPr="007C405D">
        <w:rPr>
          <w:rFonts w:ascii="Arial" w:hAnsi="Arial" w:cs="Arial"/>
          <w:sz w:val="24"/>
          <w:szCs w:val="24"/>
          <w:lang w:val="en-US"/>
        </w:rPr>
        <w:t xml:space="preserve">An Initial Impact Assessment form has been </w:t>
      </w:r>
      <w:r w:rsidR="008B4106" w:rsidRPr="007C405D">
        <w:rPr>
          <w:rFonts w:ascii="Arial" w:hAnsi="Arial" w:cs="Arial"/>
          <w:sz w:val="24"/>
          <w:szCs w:val="24"/>
          <w:lang w:val="en-US"/>
        </w:rPr>
        <w:t>completed</w:t>
      </w:r>
      <w:r w:rsidR="009F2A2D" w:rsidRPr="007C405D">
        <w:rPr>
          <w:rFonts w:ascii="Arial" w:hAnsi="Arial" w:cs="Arial"/>
          <w:sz w:val="24"/>
          <w:szCs w:val="24"/>
          <w:lang w:val="en-US"/>
        </w:rPr>
        <w:t>.</w:t>
      </w:r>
    </w:p>
    <w:p w14:paraId="6544B6D5" w14:textId="77777777" w:rsidR="009F2A2D" w:rsidRPr="007C405D" w:rsidRDefault="009F2A2D" w:rsidP="009F2A2D">
      <w:pPr>
        <w:pStyle w:val="PlainText"/>
        <w:ind w:left="720"/>
        <w:rPr>
          <w:rFonts w:ascii="Arial" w:hAnsi="Arial" w:cs="Arial"/>
          <w:sz w:val="24"/>
          <w:szCs w:val="24"/>
          <w:lang w:eastAsia="en-US"/>
        </w:rPr>
      </w:pPr>
    </w:p>
    <w:p w14:paraId="565FAF07" w14:textId="77777777" w:rsidR="007C405D" w:rsidRPr="007C405D" w:rsidRDefault="007C405D" w:rsidP="007C405D">
      <w:pPr>
        <w:pStyle w:val="sssubhead1"/>
      </w:pPr>
      <w:r w:rsidRPr="007C405D">
        <w:t>Equality Impact Assessment</w:t>
      </w:r>
      <w:r w:rsidRPr="007C405D">
        <w:tab/>
      </w:r>
    </w:p>
    <w:p w14:paraId="2FCA7723" w14:textId="77777777" w:rsidR="007C405D" w:rsidRDefault="007C405D" w:rsidP="007C405D">
      <w:pPr>
        <w:pStyle w:val="PlainText"/>
        <w:rPr>
          <w:rFonts w:ascii="Arial" w:hAnsi="Arial" w:cs="Arial"/>
          <w:sz w:val="24"/>
          <w:szCs w:val="24"/>
          <w:lang w:eastAsia="en-US"/>
        </w:rPr>
      </w:pPr>
    </w:p>
    <w:p w14:paraId="335859EE" w14:textId="05A440FF" w:rsidR="007C405D" w:rsidRDefault="007C405D" w:rsidP="007C405D">
      <w:pPr>
        <w:pStyle w:val="PlainText"/>
        <w:ind w:left="720"/>
        <w:rPr>
          <w:rFonts w:ascii="Arial" w:hAnsi="Arial" w:cs="Arial"/>
          <w:sz w:val="24"/>
          <w:szCs w:val="24"/>
          <w:lang w:val="en-US"/>
        </w:rPr>
      </w:pPr>
      <w:r w:rsidRPr="000036E0">
        <w:rPr>
          <w:rFonts w:ascii="Arial" w:hAnsi="Arial" w:cs="Arial"/>
          <w:sz w:val="24"/>
          <w:szCs w:val="24"/>
          <w:lang w:val="en-US"/>
        </w:rPr>
        <w:t>Officers have considered the Service’s Brigade Order on Equality Impact Assessments (Human Resources 5 Part 2) and have decided that there are no discriminatory practices or differential impacts upon specific groups arising from this report.  An Initial Equality Impact Assessment is not, therefore, required.</w:t>
      </w:r>
      <w:r>
        <w:rPr>
          <w:rFonts w:ascii="Arial" w:hAnsi="Arial" w:cs="Arial"/>
          <w:sz w:val="24"/>
          <w:szCs w:val="24"/>
          <w:lang w:val="en-US"/>
        </w:rPr>
        <w:t xml:space="preserve"> </w:t>
      </w:r>
    </w:p>
    <w:p w14:paraId="580652D3" w14:textId="77777777" w:rsidR="007C405D" w:rsidRPr="007C405D" w:rsidRDefault="007C405D" w:rsidP="007C405D">
      <w:pPr>
        <w:pStyle w:val="PlainText"/>
        <w:ind w:left="720"/>
        <w:rPr>
          <w:rFonts w:ascii="Arial" w:hAnsi="Arial" w:cs="Arial"/>
          <w:sz w:val="24"/>
          <w:szCs w:val="24"/>
          <w:lang w:val="en-US"/>
        </w:rPr>
      </w:pPr>
    </w:p>
    <w:p w14:paraId="6544B6D6" w14:textId="77777777" w:rsidR="005B53B1" w:rsidRPr="00EB4C4A" w:rsidRDefault="00F72E0D" w:rsidP="007C405D">
      <w:pPr>
        <w:pStyle w:val="sssubhead1"/>
        <w:rPr>
          <w:snapToGrid w:val="0"/>
          <w:lang w:eastAsia="en-US"/>
        </w:rPr>
      </w:pPr>
      <w:r>
        <w:rPr>
          <w:snapToGrid w:val="0"/>
          <w:lang w:eastAsia="en-US"/>
        </w:rPr>
        <w:t>Appendices</w:t>
      </w:r>
    </w:p>
    <w:p w14:paraId="6544B6D7" w14:textId="77777777" w:rsidR="007B08DA" w:rsidRPr="00BE50ED" w:rsidRDefault="007B08DA" w:rsidP="000C566F">
      <w:pPr>
        <w:widowControl w:val="0"/>
        <w:rPr>
          <w:rFonts w:ascii="Arial" w:hAnsi="Arial" w:cs="Arial"/>
          <w:snapToGrid w:val="0"/>
          <w:lang w:eastAsia="en-US"/>
        </w:rPr>
      </w:pPr>
    </w:p>
    <w:p w14:paraId="6544B6D8" w14:textId="77777777" w:rsidR="007B08DA" w:rsidRDefault="007B08DA" w:rsidP="007B08DA">
      <w:pPr>
        <w:widowControl w:val="0"/>
        <w:ind w:left="720"/>
        <w:rPr>
          <w:rFonts w:ascii="Arial" w:hAnsi="Arial" w:cs="Arial"/>
          <w:snapToGrid w:val="0"/>
          <w:lang w:eastAsia="en-US"/>
        </w:rPr>
      </w:pPr>
      <w:r>
        <w:rPr>
          <w:rFonts w:ascii="Arial" w:hAnsi="Arial" w:cs="Arial"/>
          <w:snapToGrid w:val="0"/>
          <w:lang w:eastAsia="en-US"/>
        </w:rPr>
        <w:t>There are no appendices attached to this report</w:t>
      </w:r>
      <w:r w:rsidR="001A493F">
        <w:rPr>
          <w:rFonts w:ascii="Arial" w:hAnsi="Arial" w:cs="Arial"/>
          <w:snapToGrid w:val="0"/>
          <w:lang w:eastAsia="en-US"/>
        </w:rPr>
        <w:t>.</w:t>
      </w:r>
    </w:p>
    <w:p w14:paraId="6544B6D9" w14:textId="77777777" w:rsidR="005B53B1" w:rsidRPr="006D45C8" w:rsidRDefault="005B53B1" w:rsidP="00F72E0D">
      <w:pPr>
        <w:widowControl w:val="0"/>
        <w:rPr>
          <w:rFonts w:ascii="Arial" w:hAnsi="Arial" w:cs="Arial"/>
          <w:snapToGrid w:val="0"/>
          <w:lang w:eastAsia="en-US"/>
        </w:rPr>
      </w:pPr>
    </w:p>
    <w:p w14:paraId="6544B6DA" w14:textId="77777777" w:rsidR="00591426" w:rsidRPr="00EB4C4A" w:rsidRDefault="00591426" w:rsidP="007C405D">
      <w:pPr>
        <w:pStyle w:val="sssubhead1"/>
        <w:rPr>
          <w:snapToGrid w:val="0"/>
          <w:lang w:eastAsia="en-US"/>
        </w:rPr>
      </w:pPr>
      <w:r>
        <w:rPr>
          <w:snapToGrid w:val="0"/>
          <w:lang w:eastAsia="en-US"/>
        </w:rPr>
        <w:t>Background Papers</w:t>
      </w:r>
    </w:p>
    <w:p w14:paraId="6544B6DB" w14:textId="77777777" w:rsidR="00591426" w:rsidRPr="00BE50ED" w:rsidRDefault="00591426" w:rsidP="000C566F">
      <w:pPr>
        <w:widowControl w:val="0"/>
        <w:rPr>
          <w:rFonts w:ascii="Arial" w:hAnsi="Arial" w:cs="Arial"/>
          <w:snapToGrid w:val="0"/>
          <w:lang w:eastAsia="en-US"/>
        </w:rPr>
      </w:pPr>
    </w:p>
    <w:p w14:paraId="6544B6DC" w14:textId="77777777" w:rsidR="001A493F" w:rsidRDefault="001A493F" w:rsidP="00F72E0D">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6544B6DD" w14:textId="77777777" w:rsidR="000D4EEB" w:rsidRPr="00D85225" w:rsidRDefault="000D4EEB" w:rsidP="009A3AB5">
      <w:pPr>
        <w:rPr>
          <w:rFonts w:ascii="Arial" w:hAnsi="Arial" w:cs="Arial"/>
        </w:rPr>
      </w:pPr>
    </w:p>
    <w:sectPr w:rsidR="000D4EEB" w:rsidRPr="00D85225" w:rsidSect="007C405D">
      <w:headerReference w:type="even" r:id="rId13"/>
      <w:headerReference w:type="default" r:id="rId14"/>
      <w:footerReference w:type="even" r:id="rId15"/>
      <w:footerReference w:type="default" r:id="rId16"/>
      <w:headerReference w:type="first" r:id="rId17"/>
      <w:footerReference w:type="first" r:id="rId18"/>
      <w:pgSz w:w="11907" w:h="16840" w:code="9"/>
      <w:pgMar w:top="851" w:right="1440" w:bottom="851"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4B6E0" w14:textId="77777777" w:rsidR="00075A94" w:rsidRDefault="00075A94">
      <w:r>
        <w:separator/>
      </w:r>
    </w:p>
  </w:endnote>
  <w:endnote w:type="continuationSeparator" w:id="0">
    <w:p w14:paraId="6544B6E1" w14:textId="77777777" w:rsidR="00075A94" w:rsidRDefault="0007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BEB4A" w14:textId="77777777" w:rsidR="00486302" w:rsidRDefault="00486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BE50ED" w:rsidRPr="00271BCC" w14:paraId="6544B6E6" w14:textId="77777777" w:rsidTr="00F1593E">
      <w:tc>
        <w:tcPr>
          <w:tcW w:w="3190" w:type="dxa"/>
          <w:vAlign w:val="bottom"/>
        </w:tcPr>
        <w:p w14:paraId="6544B6E3" w14:textId="77777777" w:rsidR="00BE50ED" w:rsidRDefault="00BE50ED" w:rsidP="00BE50ED">
          <w:pPr>
            <w:pStyle w:val="Footer"/>
            <w:rPr>
              <w:lang w:eastAsia="en-US"/>
            </w:rPr>
          </w:pPr>
          <w:r>
            <w:rPr>
              <w:noProof/>
            </w:rPr>
            <w:drawing>
              <wp:inline distT="0" distB="0" distL="0" distR="0" wp14:anchorId="6544B6EE" wp14:editId="6544B6EF">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6544B6E4" w14:textId="77777777" w:rsidR="00BE50ED" w:rsidRPr="00271BCC" w:rsidRDefault="00BE50ED" w:rsidP="00BE50ED">
          <w:pPr>
            <w:pStyle w:val="Footer"/>
            <w:jc w:val="center"/>
            <w:rPr>
              <w:rFonts w:ascii="Arial" w:hAnsi="Arial" w:cs="Arial"/>
              <w:sz w:val="20"/>
              <w:lang w:eastAsia="en-US"/>
            </w:rPr>
          </w:pPr>
          <w:r w:rsidRPr="00271BCC">
            <w:rPr>
              <w:rStyle w:val="PageNumber"/>
              <w:rFonts w:ascii="Arial" w:hAnsi="Arial" w:cs="Arial"/>
              <w:sz w:val="20"/>
              <w:lang w:eastAsia="en-US"/>
            </w:rPr>
            <w:fldChar w:fldCharType="begin"/>
          </w:r>
          <w:r w:rsidRPr="00271BCC">
            <w:rPr>
              <w:rStyle w:val="PageNumber"/>
              <w:rFonts w:ascii="Arial" w:hAnsi="Arial" w:cs="Arial"/>
              <w:sz w:val="20"/>
              <w:lang w:eastAsia="en-US"/>
            </w:rPr>
            <w:instrText xml:space="preserve"> PAGE </w:instrText>
          </w:r>
          <w:r w:rsidRPr="00271BCC">
            <w:rPr>
              <w:rStyle w:val="PageNumber"/>
              <w:rFonts w:ascii="Arial" w:hAnsi="Arial" w:cs="Arial"/>
              <w:sz w:val="20"/>
              <w:lang w:eastAsia="en-US"/>
            </w:rPr>
            <w:fldChar w:fldCharType="separate"/>
          </w:r>
          <w:r w:rsidR="00B9021D">
            <w:rPr>
              <w:rStyle w:val="PageNumber"/>
              <w:rFonts w:ascii="Arial" w:hAnsi="Arial" w:cs="Arial"/>
              <w:noProof/>
              <w:sz w:val="20"/>
              <w:lang w:eastAsia="en-US"/>
            </w:rPr>
            <w:t>2</w:t>
          </w:r>
          <w:r w:rsidRPr="00271BCC">
            <w:rPr>
              <w:rStyle w:val="PageNumber"/>
              <w:rFonts w:ascii="Arial" w:hAnsi="Arial" w:cs="Arial"/>
              <w:sz w:val="20"/>
              <w:lang w:eastAsia="en-US"/>
            </w:rPr>
            <w:fldChar w:fldCharType="end"/>
          </w:r>
        </w:p>
      </w:tc>
      <w:tc>
        <w:tcPr>
          <w:tcW w:w="2728" w:type="dxa"/>
          <w:vAlign w:val="bottom"/>
        </w:tcPr>
        <w:p w14:paraId="6544B6E5" w14:textId="02A2BE4D" w:rsidR="00BE50ED" w:rsidRPr="00271BCC" w:rsidRDefault="00BE50ED" w:rsidP="00373429">
          <w:pPr>
            <w:pStyle w:val="Footer"/>
            <w:jc w:val="right"/>
            <w:rPr>
              <w:rFonts w:ascii="Arial" w:hAnsi="Arial" w:cs="Arial"/>
              <w:sz w:val="20"/>
              <w:lang w:eastAsia="en-US"/>
            </w:rPr>
          </w:pPr>
          <w:r w:rsidRPr="00271BCC">
            <w:rPr>
              <w:rFonts w:ascii="Arial" w:hAnsi="Arial" w:cs="Arial"/>
              <w:sz w:val="20"/>
              <w:lang w:eastAsia="en-US"/>
            </w:rPr>
            <w:t>S&amp;R</w:t>
          </w:r>
          <w:r w:rsidR="008B4106">
            <w:rPr>
              <w:rFonts w:ascii="Arial" w:hAnsi="Arial" w:cs="Arial"/>
              <w:sz w:val="20"/>
              <w:lang w:eastAsia="en-US"/>
            </w:rPr>
            <w:t xml:space="preserve"> </w:t>
          </w:r>
          <w:r w:rsidR="00373429">
            <w:rPr>
              <w:rFonts w:ascii="Arial" w:hAnsi="Arial" w:cs="Arial"/>
              <w:sz w:val="20"/>
              <w:lang w:eastAsia="en-US"/>
            </w:rPr>
            <w:t>05.02.15</w:t>
          </w:r>
        </w:p>
      </w:tc>
    </w:tr>
  </w:tbl>
  <w:p w14:paraId="6544B6E7" w14:textId="77777777" w:rsidR="00BE50ED" w:rsidRDefault="00BE50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BE50ED" w:rsidRPr="00271BCC" w14:paraId="6544B6EC" w14:textId="77777777" w:rsidTr="00F1593E">
      <w:tc>
        <w:tcPr>
          <w:tcW w:w="3190" w:type="dxa"/>
          <w:vAlign w:val="bottom"/>
        </w:tcPr>
        <w:p w14:paraId="6544B6E9" w14:textId="77777777" w:rsidR="00BE50ED" w:rsidRDefault="00BE50ED" w:rsidP="00BE50ED">
          <w:pPr>
            <w:pStyle w:val="Footer"/>
            <w:rPr>
              <w:lang w:eastAsia="en-US"/>
            </w:rPr>
          </w:pPr>
          <w:r>
            <w:rPr>
              <w:noProof/>
            </w:rPr>
            <w:drawing>
              <wp:inline distT="0" distB="0" distL="0" distR="0" wp14:anchorId="6544B6F0" wp14:editId="6544B6F1">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6544B6EA" w14:textId="77777777" w:rsidR="00BE50ED" w:rsidRPr="00271BCC" w:rsidRDefault="00BE50ED" w:rsidP="00BE50ED">
          <w:pPr>
            <w:pStyle w:val="Footer"/>
            <w:jc w:val="center"/>
            <w:rPr>
              <w:rFonts w:ascii="Arial" w:hAnsi="Arial" w:cs="Arial"/>
              <w:sz w:val="20"/>
              <w:lang w:eastAsia="en-US"/>
            </w:rPr>
          </w:pPr>
          <w:r w:rsidRPr="00271BCC">
            <w:rPr>
              <w:rStyle w:val="PageNumber"/>
              <w:rFonts w:ascii="Arial" w:hAnsi="Arial" w:cs="Arial"/>
              <w:sz w:val="20"/>
              <w:lang w:eastAsia="en-US"/>
            </w:rPr>
            <w:fldChar w:fldCharType="begin"/>
          </w:r>
          <w:r w:rsidRPr="00271BCC">
            <w:rPr>
              <w:rStyle w:val="PageNumber"/>
              <w:rFonts w:ascii="Arial" w:hAnsi="Arial" w:cs="Arial"/>
              <w:sz w:val="20"/>
              <w:lang w:eastAsia="en-US"/>
            </w:rPr>
            <w:instrText xml:space="preserve"> PAGE </w:instrText>
          </w:r>
          <w:r w:rsidRPr="00271BCC">
            <w:rPr>
              <w:rStyle w:val="PageNumber"/>
              <w:rFonts w:ascii="Arial" w:hAnsi="Arial" w:cs="Arial"/>
              <w:sz w:val="20"/>
              <w:lang w:eastAsia="en-US"/>
            </w:rPr>
            <w:fldChar w:fldCharType="separate"/>
          </w:r>
          <w:r w:rsidR="00B9021D">
            <w:rPr>
              <w:rStyle w:val="PageNumber"/>
              <w:rFonts w:ascii="Arial" w:hAnsi="Arial" w:cs="Arial"/>
              <w:noProof/>
              <w:sz w:val="20"/>
              <w:lang w:eastAsia="en-US"/>
            </w:rPr>
            <w:t>1</w:t>
          </w:r>
          <w:r w:rsidRPr="00271BCC">
            <w:rPr>
              <w:rStyle w:val="PageNumber"/>
              <w:rFonts w:ascii="Arial" w:hAnsi="Arial" w:cs="Arial"/>
              <w:sz w:val="20"/>
              <w:lang w:eastAsia="en-US"/>
            </w:rPr>
            <w:fldChar w:fldCharType="end"/>
          </w:r>
        </w:p>
      </w:tc>
      <w:tc>
        <w:tcPr>
          <w:tcW w:w="2728" w:type="dxa"/>
          <w:vAlign w:val="bottom"/>
        </w:tcPr>
        <w:p w14:paraId="6544B6EB" w14:textId="54F15D0E" w:rsidR="00BE50ED" w:rsidRPr="00271BCC" w:rsidRDefault="00BE50ED" w:rsidP="00373429">
          <w:pPr>
            <w:pStyle w:val="Footer"/>
            <w:jc w:val="right"/>
            <w:rPr>
              <w:rFonts w:ascii="Arial" w:hAnsi="Arial" w:cs="Arial"/>
              <w:sz w:val="20"/>
              <w:lang w:eastAsia="en-US"/>
            </w:rPr>
          </w:pPr>
          <w:r w:rsidRPr="00271BCC">
            <w:rPr>
              <w:rFonts w:ascii="Arial" w:hAnsi="Arial" w:cs="Arial"/>
              <w:sz w:val="20"/>
              <w:lang w:eastAsia="en-US"/>
            </w:rPr>
            <w:t>S&amp;R</w:t>
          </w:r>
          <w:r w:rsidR="008B4106">
            <w:rPr>
              <w:rFonts w:ascii="Arial" w:hAnsi="Arial" w:cs="Arial"/>
              <w:sz w:val="20"/>
              <w:lang w:eastAsia="en-US"/>
            </w:rPr>
            <w:t xml:space="preserve"> </w:t>
          </w:r>
          <w:r w:rsidR="00373429">
            <w:rPr>
              <w:rFonts w:ascii="Arial" w:hAnsi="Arial" w:cs="Arial"/>
              <w:sz w:val="20"/>
              <w:lang w:eastAsia="en-US"/>
            </w:rPr>
            <w:t>05.02.15</w:t>
          </w:r>
        </w:p>
      </w:tc>
    </w:tr>
  </w:tbl>
  <w:p w14:paraId="6544B6ED" w14:textId="77777777" w:rsidR="00BE50ED" w:rsidRDefault="00BE5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4B6DE" w14:textId="77777777" w:rsidR="00075A94" w:rsidRDefault="00075A94">
      <w:r>
        <w:separator/>
      </w:r>
    </w:p>
  </w:footnote>
  <w:footnote w:type="continuationSeparator" w:id="0">
    <w:p w14:paraId="6544B6DF" w14:textId="77777777" w:rsidR="00075A94" w:rsidRDefault="00075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EF21" w14:textId="77777777" w:rsidR="00486302" w:rsidRDefault="00486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B6E2" w14:textId="77777777" w:rsidR="00F85179" w:rsidRDefault="00B9021D" w:rsidP="00F8517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B6E8" w14:textId="192AF279" w:rsidR="000D4EEB" w:rsidRPr="00BE50ED" w:rsidRDefault="00486302" w:rsidP="00BE50ED">
    <w:pPr>
      <w:pStyle w:val="Header"/>
      <w:jc w:val="right"/>
      <w:rPr>
        <w:rFonts w:ascii="Arial" w:hAnsi="Arial" w:cs="Arial"/>
        <w:b/>
        <w:sz w:val="144"/>
        <w:szCs w:val="144"/>
      </w:rPr>
    </w:pPr>
    <w:r>
      <w:rPr>
        <w:rFonts w:ascii="Arial" w:hAnsi="Arial" w:cs="Arial"/>
        <w:b/>
        <w:sz w:val="144"/>
        <w:szCs w:val="14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36026024"/>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A10336"/>
    <w:multiLevelType w:val="hybridMultilevel"/>
    <w:tmpl w:val="E090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F200A7"/>
    <w:multiLevelType w:val="hybridMultilevel"/>
    <w:tmpl w:val="2F902B4C"/>
    <w:lvl w:ilvl="0" w:tplc="4DD65908">
      <w:start w:val="1"/>
      <w:numFmt w:val="decimal"/>
      <w:lvlText w:val="%1"/>
      <w:lvlJc w:val="left"/>
      <w:pPr>
        <w:ind w:left="1440" w:hanging="360"/>
      </w:pPr>
      <w:rPr>
        <w:rFonts w:hint="default"/>
        <w:b/>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545245"/>
    <w:multiLevelType w:val="hybridMultilevel"/>
    <w:tmpl w:val="7812AC1A"/>
    <w:lvl w:ilvl="0" w:tplc="AD8ED17C">
      <w:start w:val="1"/>
      <w:numFmt w:val="decimal"/>
      <w:lvlText w:val="%1"/>
      <w:lvlJc w:val="left"/>
      <w:pPr>
        <w:ind w:left="1429" w:hanging="360"/>
      </w:pPr>
      <w:rPr>
        <w:rFonts w:hint="default"/>
      </w:rPr>
    </w:lvl>
    <w:lvl w:ilvl="1" w:tplc="A70270E8">
      <w:start w:val="1"/>
      <w:numFmt w:val="bullet"/>
      <w:lvlText w:val=""/>
      <w:lvlJc w:val="left"/>
      <w:pPr>
        <w:tabs>
          <w:tab w:val="num" w:pos="2725"/>
        </w:tabs>
        <w:ind w:left="1137" w:hanging="57"/>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4"/>
  </w:num>
  <w:num w:numId="3">
    <w:abstractNumId w:val="10"/>
  </w:num>
  <w:num w:numId="4">
    <w:abstractNumId w:val="20"/>
  </w:num>
  <w:num w:numId="5">
    <w:abstractNumId w:val="15"/>
  </w:num>
  <w:num w:numId="6">
    <w:abstractNumId w:val="11"/>
  </w:num>
  <w:num w:numId="7">
    <w:abstractNumId w:val="6"/>
  </w:num>
  <w:num w:numId="8">
    <w:abstractNumId w:val="19"/>
  </w:num>
  <w:num w:numId="9">
    <w:abstractNumId w:val="17"/>
  </w:num>
  <w:num w:numId="10">
    <w:abstractNumId w:val="21"/>
  </w:num>
  <w:num w:numId="11">
    <w:abstractNumId w:val="12"/>
  </w:num>
  <w:num w:numId="12">
    <w:abstractNumId w:val="5"/>
  </w:num>
  <w:num w:numId="13">
    <w:abstractNumId w:val="4"/>
  </w:num>
  <w:num w:numId="14">
    <w:abstractNumId w:val="1"/>
  </w:num>
  <w:num w:numId="15">
    <w:abstractNumId w:val="18"/>
  </w:num>
  <w:num w:numId="16">
    <w:abstractNumId w:val="3"/>
  </w:num>
  <w:num w:numId="17">
    <w:abstractNumId w:val="0"/>
  </w:num>
  <w:num w:numId="18">
    <w:abstractNumId w:val="9"/>
  </w:num>
  <w:num w:numId="19">
    <w:abstractNumId w:val="7"/>
  </w:num>
  <w:num w:numId="20">
    <w:abstractNumId w:val="16"/>
  </w:num>
  <w:num w:numId="21">
    <w:abstractNumId w:val="8"/>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94"/>
    <w:rsid w:val="00006E0E"/>
    <w:rsid w:val="00010FCE"/>
    <w:rsid w:val="00027B51"/>
    <w:rsid w:val="00055CEC"/>
    <w:rsid w:val="00055E65"/>
    <w:rsid w:val="00056BC8"/>
    <w:rsid w:val="00067D30"/>
    <w:rsid w:val="00071AF4"/>
    <w:rsid w:val="00071C80"/>
    <w:rsid w:val="0007411D"/>
    <w:rsid w:val="00075A94"/>
    <w:rsid w:val="000975D5"/>
    <w:rsid w:val="000B4D7E"/>
    <w:rsid w:val="000B57C9"/>
    <w:rsid w:val="000B5822"/>
    <w:rsid w:val="000C566F"/>
    <w:rsid w:val="000C77B2"/>
    <w:rsid w:val="000D1AF2"/>
    <w:rsid w:val="000D4EEB"/>
    <w:rsid w:val="00104D4A"/>
    <w:rsid w:val="00111D47"/>
    <w:rsid w:val="00117B5F"/>
    <w:rsid w:val="00123DAC"/>
    <w:rsid w:val="00153375"/>
    <w:rsid w:val="00154F81"/>
    <w:rsid w:val="00155B17"/>
    <w:rsid w:val="00174455"/>
    <w:rsid w:val="00181FED"/>
    <w:rsid w:val="00195B8D"/>
    <w:rsid w:val="00196B74"/>
    <w:rsid w:val="001A493F"/>
    <w:rsid w:val="001B0389"/>
    <w:rsid w:val="001B1B5B"/>
    <w:rsid w:val="001B3D51"/>
    <w:rsid w:val="001D30A0"/>
    <w:rsid w:val="001E0E93"/>
    <w:rsid w:val="001E1932"/>
    <w:rsid w:val="00201469"/>
    <w:rsid w:val="00202FD0"/>
    <w:rsid w:val="00206612"/>
    <w:rsid w:val="00214EAE"/>
    <w:rsid w:val="00217242"/>
    <w:rsid w:val="002231CA"/>
    <w:rsid w:val="00231193"/>
    <w:rsid w:val="00233AA4"/>
    <w:rsid w:val="00237155"/>
    <w:rsid w:val="00237D00"/>
    <w:rsid w:val="0024123B"/>
    <w:rsid w:val="002435F9"/>
    <w:rsid w:val="00244625"/>
    <w:rsid w:val="0026234D"/>
    <w:rsid w:val="00265F4A"/>
    <w:rsid w:val="00286199"/>
    <w:rsid w:val="002A3B29"/>
    <w:rsid w:val="002B04D8"/>
    <w:rsid w:val="002C7BA4"/>
    <w:rsid w:val="002C7F45"/>
    <w:rsid w:val="002E2729"/>
    <w:rsid w:val="002E3507"/>
    <w:rsid w:val="002E7828"/>
    <w:rsid w:val="002F07EF"/>
    <w:rsid w:val="002F3B57"/>
    <w:rsid w:val="00307C37"/>
    <w:rsid w:val="00325036"/>
    <w:rsid w:val="00325B82"/>
    <w:rsid w:val="00333710"/>
    <w:rsid w:val="00334B43"/>
    <w:rsid w:val="00336FE6"/>
    <w:rsid w:val="00340BDC"/>
    <w:rsid w:val="00343056"/>
    <w:rsid w:val="0034477F"/>
    <w:rsid w:val="003459D8"/>
    <w:rsid w:val="0034645A"/>
    <w:rsid w:val="003468A7"/>
    <w:rsid w:val="00373429"/>
    <w:rsid w:val="00374B94"/>
    <w:rsid w:val="00375959"/>
    <w:rsid w:val="0038124F"/>
    <w:rsid w:val="0038592B"/>
    <w:rsid w:val="00395F2B"/>
    <w:rsid w:val="003A5CAA"/>
    <w:rsid w:val="003B6F0B"/>
    <w:rsid w:val="003C1E7B"/>
    <w:rsid w:val="003D0A3C"/>
    <w:rsid w:val="003E5A12"/>
    <w:rsid w:val="003E66BB"/>
    <w:rsid w:val="003F2B9C"/>
    <w:rsid w:val="00414D7E"/>
    <w:rsid w:val="004156A6"/>
    <w:rsid w:val="00416CA8"/>
    <w:rsid w:val="0042227F"/>
    <w:rsid w:val="00435F17"/>
    <w:rsid w:val="00440EF8"/>
    <w:rsid w:val="00441922"/>
    <w:rsid w:val="00441A0D"/>
    <w:rsid w:val="00450C57"/>
    <w:rsid w:val="00451480"/>
    <w:rsid w:val="00457DA6"/>
    <w:rsid w:val="00463E63"/>
    <w:rsid w:val="0046464F"/>
    <w:rsid w:val="00466A6A"/>
    <w:rsid w:val="004711A7"/>
    <w:rsid w:val="00471C85"/>
    <w:rsid w:val="00473B69"/>
    <w:rsid w:val="00480908"/>
    <w:rsid w:val="00481AE9"/>
    <w:rsid w:val="00486302"/>
    <w:rsid w:val="004868F8"/>
    <w:rsid w:val="00491DAE"/>
    <w:rsid w:val="004929A5"/>
    <w:rsid w:val="00493BC8"/>
    <w:rsid w:val="004A0CF1"/>
    <w:rsid w:val="004A510B"/>
    <w:rsid w:val="004A5632"/>
    <w:rsid w:val="004A5F7E"/>
    <w:rsid w:val="004B1BFD"/>
    <w:rsid w:val="004B38B0"/>
    <w:rsid w:val="004B4D9B"/>
    <w:rsid w:val="004B52C7"/>
    <w:rsid w:val="004B65BC"/>
    <w:rsid w:val="004C5CC4"/>
    <w:rsid w:val="004D005F"/>
    <w:rsid w:val="004D0A4C"/>
    <w:rsid w:val="004D7421"/>
    <w:rsid w:val="004E0C2B"/>
    <w:rsid w:val="004F37E1"/>
    <w:rsid w:val="004F5D43"/>
    <w:rsid w:val="00501ECF"/>
    <w:rsid w:val="005023AC"/>
    <w:rsid w:val="005027D2"/>
    <w:rsid w:val="00512A2A"/>
    <w:rsid w:val="00525A6E"/>
    <w:rsid w:val="005367DA"/>
    <w:rsid w:val="005437E4"/>
    <w:rsid w:val="00543CEE"/>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C5CBA"/>
    <w:rsid w:val="005E7E09"/>
    <w:rsid w:val="00606F52"/>
    <w:rsid w:val="0062225E"/>
    <w:rsid w:val="0062384A"/>
    <w:rsid w:val="00624C7C"/>
    <w:rsid w:val="00631AE6"/>
    <w:rsid w:val="0064774C"/>
    <w:rsid w:val="00651999"/>
    <w:rsid w:val="00656BA2"/>
    <w:rsid w:val="00656C38"/>
    <w:rsid w:val="00660121"/>
    <w:rsid w:val="00662B17"/>
    <w:rsid w:val="0068347E"/>
    <w:rsid w:val="006841B7"/>
    <w:rsid w:val="006944BA"/>
    <w:rsid w:val="006A0A23"/>
    <w:rsid w:val="006B589E"/>
    <w:rsid w:val="006C09C1"/>
    <w:rsid w:val="006C14A3"/>
    <w:rsid w:val="006D27D3"/>
    <w:rsid w:val="006D45C8"/>
    <w:rsid w:val="006D4F01"/>
    <w:rsid w:val="006D63FD"/>
    <w:rsid w:val="006E4E73"/>
    <w:rsid w:val="006E73CA"/>
    <w:rsid w:val="00705B1D"/>
    <w:rsid w:val="0073120A"/>
    <w:rsid w:val="00742C28"/>
    <w:rsid w:val="00743690"/>
    <w:rsid w:val="0074468C"/>
    <w:rsid w:val="00752180"/>
    <w:rsid w:val="007541C6"/>
    <w:rsid w:val="00754384"/>
    <w:rsid w:val="007551C3"/>
    <w:rsid w:val="00761210"/>
    <w:rsid w:val="00765C9F"/>
    <w:rsid w:val="00777504"/>
    <w:rsid w:val="007821C2"/>
    <w:rsid w:val="00793B93"/>
    <w:rsid w:val="007A0D4C"/>
    <w:rsid w:val="007B08DA"/>
    <w:rsid w:val="007B10F9"/>
    <w:rsid w:val="007C405D"/>
    <w:rsid w:val="007D7800"/>
    <w:rsid w:val="007F6706"/>
    <w:rsid w:val="007F7748"/>
    <w:rsid w:val="00804322"/>
    <w:rsid w:val="00823681"/>
    <w:rsid w:val="0082640F"/>
    <w:rsid w:val="00830263"/>
    <w:rsid w:val="00830F70"/>
    <w:rsid w:val="008360E8"/>
    <w:rsid w:val="00841033"/>
    <w:rsid w:val="00846D21"/>
    <w:rsid w:val="008507A9"/>
    <w:rsid w:val="0086335E"/>
    <w:rsid w:val="00865BDD"/>
    <w:rsid w:val="00880C79"/>
    <w:rsid w:val="008A2311"/>
    <w:rsid w:val="008B11EF"/>
    <w:rsid w:val="008B4106"/>
    <w:rsid w:val="008C14A0"/>
    <w:rsid w:val="008C1C3A"/>
    <w:rsid w:val="008E79C2"/>
    <w:rsid w:val="008F561B"/>
    <w:rsid w:val="0090050F"/>
    <w:rsid w:val="009006D3"/>
    <w:rsid w:val="00923FF4"/>
    <w:rsid w:val="00926B11"/>
    <w:rsid w:val="00932914"/>
    <w:rsid w:val="00943752"/>
    <w:rsid w:val="00951ECA"/>
    <w:rsid w:val="00957AF1"/>
    <w:rsid w:val="00975DC4"/>
    <w:rsid w:val="009764BF"/>
    <w:rsid w:val="00977392"/>
    <w:rsid w:val="009812BD"/>
    <w:rsid w:val="0098276F"/>
    <w:rsid w:val="009908BA"/>
    <w:rsid w:val="009A0305"/>
    <w:rsid w:val="009A425F"/>
    <w:rsid w:val="009A6D03"/>
    <w:rsid w:val="009B4A7A"/>
    <w:rsid w:val="009C088E"/>
    <w:rsid w:val="009C634A"/>
    <w:rsid w:val="009C6355"/>
    <w:rsid w:val="009C7FA8"/>
    <w:rsid w:val="009E1DD1"/>
    <w:rsid w:val="009F0AF2"/>
    <w:rsid w:val="009F2A2D"/>
    <w:rsid w:val="00A009D5"/>
    <w:rsid w:val="00A04037"/>
    <w:rsid w:val="00A04DD2"/>
    <w:rsid w:val="00A0561C"/>
    <w:rsid w:val="00A059E8"/>
    <w:rsid w:val="00A06565"/>
    <w:rsid w:val="00A20DAB"/>
    <w:rsid w:val="00A217D9"/>
    <w:rsid w:val="00A414D8"/>
    <w:rsid w:val="00A5564D"/>
    <w:rsid w:val="00A61944"/>
    <w:rsid w:val="00A64E0E"/>
    <w:rsid w:val="00A652CB"/>
    <w:rsid w:val="00A66DB8"/>
    <w:rsid w:val="00A76EF1"/>
    <w:rsid w:val="00A84662"/>
    <w:rsid w:val="00A97A31"/>
    <w:rsid w:val="00AB0CCE"/>
    <w:rsid w:val="00AF0316"/>
    <w:rsid w:val="00AF44A4"/>
    <w:rsid w:val="00AF71A3"/>
    <w:rsid w:val="00B054EF"/>
    <w:rsid w:val="00B431F6"/>
    <w:rsid w:val="00B43E8C"/>
    <w:rsid w:val="00B45D89"/>
    <w:rsid w:val="00B51553"/>
    <w:rsid w:val="00B539CF"/>
    <w:rsid w:val="00B56E6C"/>
    <w:rsid w:val="00B608AF"/>
    <w:rsid w:val="00B60993"/>
    <w:rsid w:val="00B66150"/>
    <w:rsid w:val="00B70594"/>
    <w:rsid w:val="00B75422"/>
    <w:rsid w:val="00B80F0B"/>
    <w:rsid w:val="00B817E7"/>
    <w:rsid w:val="00B86EDE"/>
    <w:rsid w:val="00B9021D"/>
    <w:rsid w:val="00B91F5F"/>
    <w:rsid w:val="00B97F8F"/>
    <w:rsid w:val="00BA12EF"/>
    <w:rsid w:val="00BA577D"/>
    <w:rsid w:val="00BB4253"/>
    <w:rsid w:val="00BC093C"/>
    <w:rsid w:val="00BD07F8"/>
    <w:rsid w:val="00BD6DDA"/>
    <w:rsid w:val="00BE3B0A"/>
    <w:rsid w:val="00BE4057"/>
    <w:rsid w:val="00BE50ED"/>
    <w:rsid w:val="00BE5C14"/>
    <w:rsid w:val="00BF14B6"/>
    <w:rsid w:val="00BF59FB"/>
    <w:rsid w:val="00BF6300"/>
    <w:rsid w:val="00BF63B4"/>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E3D13"/>
    <w:rsid w:val="00CF2200"/>
    <w:rsid w:val="00D00436"/>
    <w:rsid w:val="00D06300"/>
    <w:rsid w:val="00D079C6"/>
    <w:rsid w:val="00D14B98"/>
    <w:rsid w:val="00D23903"/>
    <w:rsid w:val="00D25306"/>
    <w:rsid w:val="00D46B88"/>
    <w:rsid w:val="00D47ECC"/>
    <w:rsid w:val="00D623CA"/>
    <w:rsid w:val="00D65102"/>
    <w:rsid w:val="00D66191"/>
    <w:rsid w:val="00D67431"/>
    <w:rsid w:val="00D73D1C"/>
    <w:rsid w:val="00D77895"/>
    <w:rsid w:val="00D82C33"/>
    <w:rsid w:val="00D860E9"/>
    <w:rsid w:val="00D86E93"/>
    <w:rsid w:val="00D87A6A"/>
    <w:rsid w:val="00D96096"/>
    <w:rsid w:val="00DB513F"/>
    <w:rsid w:val="00DC3AA4"/>
    <w:rsid w:val="00DC3C85"/>
    <w:rsid w:val="00DC3EB2"/>
    <w:rsid w:val="00DD537D"/>
    <w:rsid w:val="00DE11DB"/>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70DFB"/>
    <w:rsid w:val="00E720BB"/>
    <w:rsid w:val="00E80541"/>
    <w:rsid w:val="00E85789"/>
    <w:rsid w:val="00E85D8B"/>
    <w:rsid w:val="00EA6439"/>
    <w:rsid w:val="00ED5F67"/>
    <w:rsid w:val="00EE5E9F"/>
    <w:rsid w:val="00EF21DB"/>
    <w:rsid w:val="00F00740"/>
    <w:rsid w:val="00F119E8"/>
    <w:rsid w:val="00F17498"/>
    <w:rsid w:val="00F305E7"/>
    <w:rsid w:val="00F32679"/>
    <w:rsid w:val="00F33274"/>
    <w:rsid w:val="00F35554"/>
    <w:rsid w:val="00F5099C"/>
    <w:rsid w:val="00F5373E"/>
    <w:rsid w:val="00F54254"/>
    <w:rsid w:val="00F5438F"/>
    <w:rsid w:val="00F6108B"/>
    <w:rsid w:val="00F65068"/>
    <w:rsid w:val="00F6564C"/>
    <w:rsid w:val="00F72E0D"/>
    <w:rsid w:val="00F902E6"/>
    <w:rsid w:val="00F93AC4"/>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44B620"/>
  <w15:docId w15:val="{26D0B12E-0EBA-491C-8869-7153486D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7C405D"/>
    <w:pPr>
      <w:keepNext w:val="0"/>
      <w:numPr>
        <w:numId w:val="1"/>
      </w:numPr>
      <w:spacing w:before="0" w:after="0"/>
      <w:jc w:val="both"/>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customStyle="1" w:styleId="FooterChar">
    <w:name w:val="Footer Char"/>
    <w:link w:val="Footer"/>
    <w:uiPriority w:val="99"/>
    <w:rsid w:val="00BE50ED"/>
    <w:rPr>
      <w:sz w:val="24"/>
      <w:szCs w:val="24"/>
      <w:lang w:val="en-GB" w:eastAsia="en-GB"/>
    </w:rPr>
  </w:style>
  <w:style w:type="character" w:customStyle="1" w:styleId="PlainTextChar">
    <w:name w:val="Plain Text Char"/>
    <w:basedOn w:val="DefaultParagraphFont"/>
    <w:link w:val="PlainText"/>
    <w:rsid w:val="007C405D"/>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15cec8fd-eede-43ea-a7f7-e4f4e18d2a8d" ContentTypeId="0x010100E1CC3F4493E0FC4D8466E5A019837875" PreviousValue="true"/>
</file>

<file path=customXml/item3.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0" ma:contentTypeDescription="" ma:contentTypeScope="" ma:versionID="9655f2d65c7bf73972ddf1736638c3aa">
  <xsd:schema xmlns:xsd="http://www.w3.org/2001/XMLSchema" xmlns:xs="http://www.w3.org/2001/XMLSchema" xmlns:p="http://schemas.microsoft.com/office/2006/metadata/properties" xmlns:ns2="a74abe98-04d6-4650-a86d-b684cd679024" targetNamespace="http://schemas.microsoft.com/office/2006/metadata/properties" ma:root="true" ma:fieldsID="8c269e73c1bd99d3818bae084d90bd16" ns2:_="">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4D42-A9D8-4665-A0DD-C9DEA238FACC}">
  <ds:schemaRefs>
    <ds:schemaRef ds:uri="http://schemas.microsoft.com/sharepoint/events"/>
  </ds:schemaRefs>
</ds:datastoreItem>
</file>

<file path=customXml/itemProps2.xml><?xml version="1.0" encoding="utf-8"?>
<ds:datastoreItem xmlns:ds="http://schemas.openxmlformats.org/officeDocument/2006/customXml" ds:itemID="{09F3DEE6-1427-47CA-859E-88A1C6138B22}">
  <ds:schemaRefs>
    <ds:schemaRef ds:uri="Microsoft.SharePoint.Taxonomy.ContentTypeSync"/>
  </ds:schemaRefs>
</ds:datastoreItem>
</file>

<file path=customXml/itemProps3.xml><?xml version="1.0" encoding="utf-8"?>
<ds:datastoreItem xmlns:ds="http://schemas.openxmlformats.org/officeDocument/2006/customXml" ds:itemID="{AA6B7AC2-1484-47ED-ABAA-2B956E54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CDDD5-DD2F-4FAE-BC48-9DA3A46CC926}">
  <ds:schemaRefs>
    <ds:schemaRef ds:uri="http://purl.org/dc/dcmitype/"/>
    <ds:schemaRef ds:uri="http://schemas.microsoft.com/office/2006/metadata/properties"/>
    <ds:schemaRef ds:uri="http://schemas.microsoft.com/office/2006/documentManagement/types"/>
    <ds:schemaRef ds:uri="a74abe98-04d6-4650-a86d-b684cd67902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92764F6-01FE-43F6-B6A8-D7C45C6226C4}">
  <ds:schemaRefs>
    <ds:schemaRef ds:uri="http://schemas.microsoft.com/sharepoint/v3/contenttype/forms"/>
  </ds:schemaRefs>
</ds:datastoreItem>
</file>

<file path=customXml/itemProps6.xml><?xml version="1.0" encoding="utf-8"?>
<ds:datastoreItem xmlns:ds="http://schemas.openxmlformats.org/officeDocument/2006/customXml" ds:itemID="{1C4E1D58-8406-4209-A37F-7DD76A1D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Shropshire and Wrekin Fire Authority</vt:lpstr>
    </vt:vector>
  </TitlesOfParts>
  <Company>SFRS</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and Wrekin Fire Authority</dc:title>
  <dc:subject/>
  <dc:creator>Joanne Coadey</dc:creator>
  <cp:keywords/>
  <dc:description/>
  <cp:lastModifiedBy>Lynn Ince</cp:lastModifiedBy>
  <cp:revision>19</cp:revision>
  <cp:lastPrinted>2015-01-28T10:21:00Z</cp:lastPrinted>
  <dcterms:created xsi:type="dcterms:W3CDTF">2015-01-12T13:34:00Z</dcterms:created>
  <dcterms:modified xsi:type="dcterms:W3CDTF">2015-01-28T10:21:00Z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TaxKeyword">
    <vt:lpwstr/>
  </property>
  <property fmtid="{D5CDD505-2E9C-101B-9397-08002B2CF9AE}" pid="4" name="SFRSTopic">
    <vt:lpwstr/>
  </property>
</Properties>
</file>