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CE817" w14:textId="77777777" w:rsidR="00591426" w:rsidRDefault="00591426" w:rsidP="00591426">
      <w:pPr>
        <w:widowControl w:val="0"/>
        <w:jc w:val="right"/>
        <w:rPr>
          <w:rFonts w:ascii="Arial" w:hAnsi="Arial" w:cs="Arial"/>
          <w:snapToGrid w:val="0"/>
          <w:lang w:eastAsia="en-US"/>
        </w:rPr>
      </w:pPr>
      <w:r w:rsidRPr="006D45C8">
        <w:rPr>
          <w:rFonts w:ascii="Arial" w:hAnsi="Arial" w:cs="Arial"/>
          <w:snapToGrid w:val="0"/>
          <w:lang w:eastAsia="en-US"/>
        </w:rPr>
        <w:t>Shropshire and Wrekin Fire</w:t>
      </w:r>
      <w:r w:rsidR="000D1AF2">
        <w:rPr>
          <w:rFonts w:ascii="Arial" w:hAnsi="Arial" w:cs="Arial"/>
          <w:snapToGrid w:val="0"/>
          <w:lang w:eastAsia="en-US"/>
        </w:rPr>
        <w:t xml:space="preserve"> and Rescue</w:t>
      </w:r>
      <w:r w:rsidRPr="006D45C8">
        <w:rPr>
          <w:rFonts w:ascii="Arial" w:hAnsi="Arial" w:cs="Arial"/>
          <w:snapToGrid w:val="0"/>
          <w:lang w:eastAsia="en-US"/>
        </w:rPr>
        <w:t xml:space="preserve"> Authority</w:t>
      </w:r>
    </w:p>
    <w:p w14:paraId="28806D4F" w14:textId="77777777" w:rsidR="00CD7850" w:rsidRPr="00D8014A" w:rsidRDefault="003C3423" w:rsidP="00591426">
      <w:pPr>
        <w:widowControl w:val="0"/>
        <w:jc w:val="right"/>
        <w:rPr>
          <w:rFonts w:ascii="Arial" w:hAnsi="Arial" w:cs="Arial"/>
          <w:snapToGrid w:val="0"/>
          <w:lang w:eastAsia="en-US"/>
        </w:rPr>
      </w:pPr>
      <w:r w:rsidRPr="00D8014A">
        <w:rPr>
          <w:rFonts w:ascii="Arial" w:hAnsi="Arial" w:cs="Arial"/>
          <w:snapToGrid w:val="0"/>
          <w:lang w:eastAsia="en-US"/>
        </w:rPr>
        <w:t xml:space="preserve">Strategy </w:t>
      </w:r>
      <w:r w:rsidR="0071686E">
        <w:rPr>
          <w:rFonts w:ascii="Arial" w:hAnsi="Arial" w:cs="Arial"/>
          <w:snapToGrid w:val="0"/>
          <w:lang w:eastAsia="en-US"/>
        </w:rPr>
        <w:t>and</w:t>
      </w:r>
      <w:r w:rsidRPr="00D8014A">
        <w:rPr>
          <w:rFonts w:ascii="Arial" w:hAnsi="Arial" w:cs="Arial"/>
          <w:snapToGrid w:val="0"/>
          <w:lang w:eastAsia="en-US"/>
        </w:rPr>
        <w:t xml:space="preserve"> Resources Committee</w:t>
      </w:r>
    </w:p>
    <w:p w14:paraId="61EE36F4" w14:textId="77777777" w:rsidR="00CD7850" w:rsidRPr="00D8014A" w:rsidRDefault="00922173" w:rsidP="00591426">
      <w:pPr>
        <w:widowControl w:val="0"/>
        <w:jc w:val="right"/>
        <w:rPr>
          <w:rFonts w:ascii="Arial" w:hAnsi="Arial" w:cs="Arial"/>
          <w:snapToGrid w:val="0"/>
          <w:lang w:eastAsia="en-US"/>
        </w:rPr>
      </w:pPr>
      <w:r>
        <w:rPr>
          <w:rFonts w:ascii="Arial" w:hAnsi="Arial" w:cs="Arial"/>
          <w:snapToGrid w:val="0"/>
          <w:lang w:eastAsia="en-US"/>
        </w:rPr>
        <w:t>20</w:t>
      </w:r>
      <w:r w:rsidR="003C3423" w:rsidRPr="00D8014A">
        <w:rPr>
          <w:rFonts w:ascii="Arial" w:hAnsi="Arial" w:cs="Arial"/>
          <w:snapToGrid w:val="0"/>
          <w:lang w:eastAsia="en-US"/>
        </w:rPr>
        <w:t xml:space="preserve"> November 201</w:t>
      </w:r>
      <w:r>
        <w:rPr>
          <w:rFonts w:ascii="Arial" w:hAnsi="Arial" w:cs="Arial"/>
          <w:snapToGrid w:val="0"/>
          <w:lang w:eastAsia="en-US"/>
        </w:rPr>
        <w:t>4</w:t>
      </w:r>
    </w:p>
    <w:p w14:paraId="0ABF24E2" w14:textId="77777777" w:rsidR="00480908" w:rsidRPr="00D8014A" w:rsidRDefault="004E0C2B" w:rsidP="00CD7850">
      <w:pPr>
        <w:widowControl w:val="0"/>
        <w:rPr>
          <w:rFonts w:ascii="Arial" w:hAnsi="Arial" w:cs="Arial"/>
          <w:snapToGrid w:val="0"/>
          <w:lang w:eastAsia="en-US"/>
        </w:rPr>
      </w:pPr>
      <w:r w:rsidRPr="00D8014A">
        <w:fldChar w:fldCharType="begin"/>
      </w:r>
      <w:r w:rsidR="00336FE6" w:rsidRPr="00D8014A">
        <w:instrText xml:space="preserve"> FILLIN  "Name of Committee"  \* MERGEFORMAT </w:instrText>
      </w:r>
      <w:r w:rsidRPr="00D8014A">
        <w:fldChar w:fldCharType="end"/>
      </w:r>
    </w:p>
    <w:p w14:paraId="61F69757" w14:textId="77777777" w:rsidR="00591426" w:rsidRPr="006D45C8" w:rsidRDefault="00591426" w:rsidP="00591426">
      <w:pPr>
        <w:widowControl w:val="0"/>
        <w:rPr>
          <w:rFonts w:ascii="Arial" w:hAnsi="Arial" w:cs="Arial"/>
          <w:snapToGrid w:val="0"/>
          <w:lang w:eastAsia="en-US"/>
        </w:rPr>
      </w:pPr>
    </w:p>
    <w:p w14:paraId="4C18C902" w14:textId="77777777" w:rsidR="00591426" w:rsidRPr="0026234D" w:rsidRDefault="003C3423" w:rsidP="00CD7850">
      <w:pPr>
        <w:widowControl w:val="0"/>
        <w:rPr>
          <w:rFonts w:ascii="Arial" w:hAnsi="Arial"/>
          <w:b/>
          <w:snapToGrid w:val="0"/>
          <w:sz w:val="40"/>
          <w:szCs w:val="40"/>
          <w:lang w:eastAsia="en-US"/>
        </w:rPr>
      </w:pPr>
      <w:r>
        <w:rPr>
          <w:rFonts w:ascii="Arial" w:hAnsi="Arial"/>
          <w:b/>
          <w:snapToGrid w:val="0"/>
          <w:sz w:val="40"/>
          <w:szCs w:val="40"/>
          <w:lang w:eastAsia="en-US"/>
        </w:rPr>
        <w:t>Financial Performance to September 201</w:t>
      </w:r>
      <w:r w:rsidR="00922173">
        <w:rPr>
          <w:rFonts w:ascii="Arial" w:hAnsi="Arial"/>
          <w:b/>
          <w:snapToGrid w:val="0"/>
          <w:sz w:val="40"/>
          <w:szCs w:val="40"/>
          <w:lang w:eastAsia="en-US"/>
        </w:rPr>
        <w:t>4</w:t>
      </w:r>
      <w:r>
        <w:rPr>
          <w:rFonts w:ascii="Arial" w:hAnsi="Arial"/>
          <w:b/>
          <w:snapToGrid w:val="0"/>
          <w:sz w:val="40"/>
          <w:szCs w:val="40"/>
          <w:lang w:eastAsia="en-US"/>
        </w:rPr>
        <w:t>, in</w:t>
      </w:r>
      <w:r w:rsidR="00020B40">
        <w:rPr>
          <w:rFonts w:ascii="Arial" w:hAnsi="Arial"/>
          <w:b/>
          <w:snapToGrid w:val="0"/>
          <w:sz w:val="40"/>
          <w:szCs w:val="40"/>
          <w:lang w:eastAsia="en-US"/>
        </w:rPr>
        <w:t xml:space="preserve">cluding </w:t>
      </w:r>
      <w:r w:rsidR="00922173">
        <w:rPr>
          <w:rFonts w:ascii="Arial" w:hAnsi="Arial"/>
          <w:b/>
          <w:snapToGrid w:val="0"/>
          <w:sz w:val="40"/>
          <w:szCs w:val="40"/>
          <w:lang w:eastAsia="en-US"/>
        </w:rPr>
        <w:t xml:space="preserve">Annual Treasury Review 2013/14 and </w:t>
      </w:r>
      <w:r w:rsidR="00020B40">
        <w:rPr>
          <w:rFonts w:ascii="Arial" w:hAnsi="Arial"/>
          <w:b/>
          <w:snapToGrid w:val="0"/>
          <w:sz w:val="40"/>
          <w:szCs w:val="40"/>
          <w:lang w:eastAsia="en-US"/>
        </w:rPr>
        <w:t>Mid</w:t>
      </w:r>
      <w:r w:rsidR="00347EA5">
        <w:rPr>
          <w:rFonts w:ascii="Arial" w:hAnsi="Arial"/>
          <w:b/>
          <w:snapToGrid w:val="0"/>
          <w:sz w:val="40"/>
          <w:szCs w:val="40"/>
          <w:lang w:eastAsia="en-US"/>
        </w:rPr>
        <w:t>-</w:t>
      </w:r>
      <w:r w:rsidR="00922173">
        <w:rPr>
          <w:rFonts w:ascii="Arial" w:hAnsi="Arial"/>
          <w:b/>
          <w:snapToGrid w:val="0"/>
          <w:sz w:val="40"/>
          <w:szCs w:val="40"/>
          <w:lang w:eastAsia="en-US"/>
        </w:rPr>
        <w:t>Year Treasury Review 2014</w:t>
      </w:r>
      <w:r w:rsidR="00020B40">
        <w:rPr>
          <w:rFonts w:ascii="Arial" w:hAnsi="Arial"/>
          <w:b/>
          <w:snapToGrid w:val="0"/>
          <w:sz w:val="40"/>
          <w:szCs w:val="40"/>
          <w:lang w:eastAsia="en-US"/>
        </w:rPr>
        <w:t>/1</w:t>
      </w:r>
      <w:r w:rsidR="00922173">
        <w:rPr>
          <w:rFonts w:ascii="Arial" w:hAnsi="Arial"/>
          <w:b/>
          <w:snapToGrid w:val="0"/>
          <w:sz w:val="40"/>
          <w:szCs w:val="40"/>
          <w:lang w:eastAsia="en-US"/>
        </w:rPr>
        <w:t>5</w:t>
      </w:r>
    </w:p>
    <w:p w14:paraId="6DE43AD9" w14:textId="77777777" w:rsidR="00591426" w:rsidRDefault="00591426" w:rsidP="00F72E0D">
      <w:pPr>
        <w:widowControl w:val="0"/>
        <w:jc w:val="both"/>
        <w:rPr>
          <w:rFonts w:ascii="Arial" w:hAnsi="Arial"/>
          <w:b/>
          <w:snapToGrid w:val="0"/>
          <w:lang w:eastAsia="en-US"/>
        </w:rPr>
      </w:pPr>
    </w:p>
    <w:p w14:paraId="67B290F7" w14:textId="77777777" w:rsidR="00CD7850" w:rsidRPr="00117B5F" w:rsidRDefault="00CD7850" w:rsidP="00F72E0D">
      <w:pPr>
        <w:widowControl w:val="0"/>
        <w:jc w:val="both"/>
        <w:rPr>
          <w:rFonts w:ascii="Arial" w:hAnsi="Arial"/>
          <w:b/>
          <w:snapToGrid w:val="0"/>
          <w:lang w:eastAsia="en-US"/>
        </w:rPr>
      </w:pPr>
    </w:p>
    <w:p w14:paraId="48703091" w14:textId="77777777" w:rsidR="002231CA" w:rsidRDefault="002231CA" w:rsidP="00CD7850">
      <w:pPr>
        <w:pStyle w:val="ssheader"/>
        <w:widowControl w:val="0"/>
        <w:rPr>
          <w:sz w:val="28"/>
          <w:szCs w:val="28"/>
        </w:rPr>
      </w:pPr>
      <w:r>
        <w:rPr>
          <w:caps w:val="0"/>
          <w:sz w:val="28"/>
          <w:szCs w:val="28"/>
        </w:rPr>
        <w:t xml:space="preserve">Report of the </w:t>
      </w:r>
      <w:r w:rsidR="00347EA5">
        <w:rPr>
          <w:caps w:val="0"/>
          <w:sz w:val="28"/>
          <w:szCs w:val="28"/>
        </w:rPr>
        <w:t>Treasurer</w:t>
      </w:r>
    </w:p>
    <w:p w14:paraId="1304068A" w14:textId="77777777" w:rsidR="00591426" w:rsidRPr="007D7800" w:rsidRDefault="002231CA" w:rsidP="00CD7850">
      <w:pPr>
        <w:pStyle w:val="ssheader"/>
        <w:widowControl w:val="0"/>
        <w:rPr>
          <w:rFonts w:cs="Times New Roman"/>
          <w:b w:val="0"/>
          <w:bCs w:val="0"/>
          <w:caps w:val="0"/>
          <w:snapToGrid w:val="0"/>
          <w:sz w:val="24"/>
          <w:szCs w:val="24"/>
          <w:lang w:eastAsia="en-US"/>
        </w:rPr>
      </w:pPr>
      <w:r w:rsidRPr="006D45C8">
        <w:rPr>
          <w:b w:val="0"/>
          <w:caps w:val="0"/>
          <w:sz w:val="24"/>
          <w:szCs w:val="24"/>
        </w:rPr>
        <w:t>For further information about this report please contact</w:t>
      </w:r>
      <w:r w:rsidR="00FB4B9A">
        <w:rPr>
          <w:b w:val="0"/>
          <w:caps w:val="0"/>
          <w:sz w:val="24"/>
          <w:szCs w:val="24"/>
        </w:rPr>
        <w:t xml:space="preserve"> </w:t>
      </w:r>
      <w:r w:rsidR="00020B40">
        <w:rPr>
          <w:b w:val="0"/>
          <w:caps w:val="0"/>
          <w:sz w:val="24"/>
          <w:szCs w:val="24"/>
        </w:rPr>
        <w:t>James Walton, Treasurer, on 01743 255011</w:t>
      </w:r>
      <w:r w:rsidR="00FB4B9A">
        <w:rPr>
          <w:b w:val="0"/>
          <w:caps w:val="0"/>
          <w:sz w:val="24"/>
          <w:szCs w:val="24"/>
        </w:rPr>
        <w:t xml:space="preserve"> or</w:t>
      </w:r>
      <w:r w:rsidR="00CD7850">
        <w:rPr>
          <w:b w:val="0"/>
          <w:caps w:val="0"/>
          <w:sz w:val="24"/>
          <w:szCs w:val="24"/>
        </w:rPr>
        <w:t xml:space="preserve"> </w:t>
      </w:r>
      <w:r w:rsidR="00020B40">
        <w:rPr>
          <w:b w:val="0"/>
          <w:caps w:val="0"/>
          <w:sz w:val="24"/>
          <w:szCs w:val="24"/>
        </w:rPr>
        <w:t>Joanne Coadey, Head of Finance,</w:t>
      </w:r>
      <w:r w:rsidR="00CD7850">
        <w:rPr>
          <w:b w:val="0"/>
          <w:caps w:val="0"/>
          <w:sz w:val="24"/>
          <w:szCs w:val="24"/>
        </w:rPr>
        <w:t xml:space="preserve"> on </w:t>
      </w:r>
      <w:r w:rsidR="00020B40">
        <w:rPr>
          <w:b w:val="0"/>
          <w:caps w:val="0"/>
          <w:sz w:val="24"/>
          <w:szCs w:val="24"/>
        </w:rPr>
        <w:t>01743 260215.</w:t>
      </w:r>
      <w:r w:rsidR="004E0C2B">
        <w:fldChar w:fldCharType="begin"/>
      </w:r>
      <w:r w:rsidR="00336FE6">
        <w:instrText xml:space="preserve"> FILLIN  "TITLE OF REPORT"  \* MERGEFORMAT </w:instrText>
      </w:r>
      <w:r w:rsidR="004E0C2B">
        <w:fldChar w:fldCharType="end"/>
      </w:r>
    </w:p>
    <w:p w14:paraId="1C7BAA23" w14:textId="77777777" w:rsidR="00591426" w:rsidRPr="00A04037" w:rsidRDefault="00591426" w:rsidP="00F72E0D">
      <w:pPr>
        <w:widowControl w:val="0"/>
        <w:rPr>
          <w:rFonts w:ascii="Arial" w:hAnsi="Arial"/>
          <w:snapToGrid w:val="0"/>
          <w:lang w:eastAsia="en-US"/>
        </w:rPr>
      </w:pPr>
    </w:p>
    <w:p w14:paraId="4F3AB790" w14:textId="77777777" w:rsidR="00591426" w:rsidRPr="00A04037" w:rsidRDefault="00591426" w:rsidP="00F72E0D"/>
    <w:p w14:paraId="1AA0E7A8" w14:textId="77777777" w:rsidR="00591426" w:rsidRPr="004F3062" w:rsidRDefault="00591426" w:rsidP="00341866">
      <w:pPr>
        <w:pStyle w:val="sssubhead1"/>
      </w:pPr>
      <w:r w:rsidRPr="004F3062">
        <w:t>Purpose of Report</w:t>
      </w:r>
    </w:p>
    <w:p w14:paraId="29E3D16E" w14:textId="77777777" w:rsidR="00117B5F" w:rsidRPr="00117B5F" w:rsidRDefault="00117B5F" w:rsidP="00117B5F">
      <w:pPr>
        <w:pStyle w:val="PlainText"/>
        <w:rPr>
          <w:rFonts w:ascii="Arial" w:hAnsi="Arial" w:cs="Arial"/>
          <w:sz w:val="24"/>
          <w:szCs w:val="24"/>
        </w:rPr>
      </w:pPr>
    </w:p>
    <w:p w14:paraId="23E621AF" w14:textId="77777777" w:rsidR="00591426" w:rsidRPr="00991660" w:rsidRDefault="00991660" w:rsidP="004F3062">
      <w:pPr>
        <w:autoSpaceDE w:val="0"/>
        <w:autoSpaceDN w:val="0"/>
        <w:adjustRightInd w:val="0"/>
        <w:ind w:left="709"/>
        <w:rPr>
          <w:rFonts w:ascii="Arial" w:hAnsi="Arial" w:cs="Arial"/>
          <w:lang w:eastAsia="en-US"/>
        </w:rPr>
      </w:pPr>
      <w:r w:rsidRPr="00991660">
        <w:rPr>
          <w:rFonts w:ascii="Arial" w:hAnsi="Arial" w:cs="Arial"/>
          <w:lang w:eastAsia="en-US"/>
        </w:rPr>
        <w:t>This report provides information on the financial performance of the Service,</w:t>
      </w:r>
      <w:r w:rsidR="004F3062">
        <w:rPr>
          <w:rFonts w:ascii="Arial" w:hAnsi="Arial" w:cs="Arial"/>
          <w:lang w:eastAsia="en-US"/>
        </w:rPr>
        <w:t xml:space="preserve"> </w:t>
      </w:r>
      <w:r w:rsidRPr="00991660">
        <w:rPr>
          <w:rFonts w:ascii="Arial" w:hAnsi="Arial" w:cs="Arial"/>
          <w:lang w:eastAsia="en-US"/>
        </w:rPr>
        <w:t>and seeks appro</w:t>
      </w:r>
      <w:r>
        <w:rPr>
          <w:rFonts w:ascii="Arial" w:hAnsi="Arial" w:cs="Arial"/>
          <w:lang w:eastAsia="en-US"/>
        </w:rPr>
        <w:t>val for action, where necessary.</w:t>
      </w:r>
    </w:p>
    <w:p w14:paraId="4EA6FD4E" w14:textId="77777777" w:rsidR="009C7FA8" w:rsidRDefault="009C7FA8" w:rsidP="00F72E0D">
      <w:pPr>
        <w:rPr>
          <w:rFonts w:ascii="Arial" w:hAnsi="Arial" w:cs="Arial"/>
        </w:rPr>
      </w:pPr>
    </w:p>
    <w:p w14:paraId="77508528" w14:textId="77777777" w:rsidR="00347EA5" w:rsidRPr="006D45C8" w:rsidRDefault="00347EA5" w:rsidP="00F72E0D">
      <w:pPr>
        <w:rPr>
          <w:rFonts w:ascii="Arial" w:hAnsi="Arial" w:cs="Arial"/>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505"/>
      </w:tblGrid>
      <w:tr w:rsidR="00591426" w14:paraId="152D95E7" w14:textId="77777777" w:rsidTr="002304D6">
        <w:tc>
          <w:tcPr>
            <w:tcW w:w="709" w:type="dxa"/>
            <w:tcBorders>
              <w:top w:val="nil"/>
              <w:left w:val="nil"/>
              <w:bottom w:val="nil"/>
            </w:tcBorders>
          </w:tcPr>
          <w:p w14:paraId="671137FB" w14:textId="77777777" w:rsidR="00591426" w:rsidRPr="000975D5" w:rsidRDefault="00591426" w:rsidP="00F72E0D">
            <w:pPr>
              <w:rPr>
                <w:rFonts w:ascii="Arial" w:hAnsi="Arial" w:cs="Arial"/>
                <w:sz w:val="22"/>
                <w:szCs w:val="22"/>
              </w:rPr>
            </w:pPr>
          </w:p>
          <w:p w14:paraId="1A9D7A1E" w14:textId="77777777" w:rsidR="00591426" w:rsidRDefault="00591426" w:rsidP="00341866">
            <w:pPr>
              <w:pStyle w:val="sssubhead1"/>
            </w:pPr>
          </w:p>
        </w:tc>
        <w:tc>
          <w:tcPr>
            <w:tcW w:w="8505" w:type="dxa"/>
          </w:tcPr>
          <w:p w14:paraId="266293E3" w14:textId="77777777" w:rsidR="00591426" w:rsidRPr="000975D5" w:rsidRDefault="00591426" w:rsidP="00F72E0D">
            <w:pPr>
              <w:rPr>
                <w:rFonts w:ascii="Arial" w:hAnsi="Arial" w:cs="Arial"/>
                <w:sz w:val="22"/>
                <w:szCs w:val="22"/>
              </w:rPr>
            </w:pPr>
          </w:p>
          <w:p w14:paraId="2ED02DC7" w14:textId="77777777" w:rsidR="00591426" w:rsidRDefault="00591426" w:rsidP="00F72E0D">
            <w:pPr>
              <w:pStyle w:val="lethead"/>
              <w:tabs>
                <w:tab w:val="clear" w:pos="4819"/>
                <w:tab w:val="clear" w:pos="9071"/>
              </w:tabs>
              <w:rPr>
                <w:rFonts w:ascii="Arial" w:hAnsi="Arial"/>
              </w:rPr>
            </w:pPr>
            <w:r>
              <w:rPr>
                <w:rFonts w:ascii="Arial" w:hAnsi="Arial"/>
              </w:rPr>
              <w:t>Recommendations</w:t>
            </w:r>
          </w:p>
          <w:p w14:paraId="0378FB9F" w14:textId="77777777" w:rsidR="00591426" w:rsidRDefault="00591426" w:rsidP="00F72E0D">
            <w:pPr>
              <w:pStyle w:val="BodyTextIndent2"/>
              <w:ind w:left="0"/>
              <w:jc w:val="left"/>
              <w:rPr>
                <w:rFonts w:ascii="Arial" w:hAnsi="Arial" w:cs="Arial"/>
              </w:rPr>
            </w:pPr>
          </w:p>
          <w:p w14:paraId="5359AB72" w14:textId="77777777" w:rsidR="007B08DA" w:rsidRPr="006D45C8" w:rsidRDefault="00991660" w:rsidP="00F72E0D">
            <w:pPr>
              <w:pStyle w:val="BodyTextIndent2"/>
              <w:ind w:left="0"/>
              <w:jc w:val="left"/>
              <w:rPr>
                <w:rFonts w:ascii="Arial" w:hAnsi="Arial" w:cs="Arial"/>
              </w:rPr>
            </w:pPr>
            <w:r>
              <w:rPr>
                <w:rFonts w:ascii="Arial" w:hAnsi="Arial" w:cs="Arial"/>
              </w:rPr>
              <w:t xml:space="preserve">The </w:t>
            </w:r>
            <w:r w:rsidR="007B08DA">
              <w:rPr>
                <w:rFonts w:ascii="Arial" w:hAnsi="Arial" w:cs="Arial"/>
              </w:rPr>
              <w:t>Committee is asked to</w:t>
            </w:r>
            <w:r w:rsidR="001104AC">
              <w:rPr>
                <w:rFonts w:ascii="Arial" w:hAnsi="Arial" w:cs="Arial"/>
              </w:rPr>
              <w:t xml:space="preserve"> recommend that the Fire Authority</w:t>
            </w:r>
            <w:r w:rsidR="007B08DA">
              <w:rPr>
                <w:rFonts w:ascii="Arial" w:hAnsi="Arial" w:cs="Arial"/>
              </w:rPr>
              <w:t>:</w:t>
            </w:r>
          </w:p>
          <w:p w14:paraId="32132675" w14:textId="77777777" w:rsidR="00991660" w:rsidRDefault="00991660" w:rsidP="00991660">
            <w:pPr>
              <w:autoSpaceDE w:val="0"/>
              <w:autoSpaceDN w:val="0"/>
              <w:adjustRightInd w:val="0"/>
              <w:rPr>
                <w:rFonts w:ascii="Arial" w:hAnsi="Arial" w:cs="Arial"/>
                <w:sz w:val="23"/>
                <w:szCs w:val="23"/>
                <w:lang w:eastAsia="en-US"/>
              </w:rPr>
            </w:pPr>
          </w:p>
          <w:p w14:paraId="23B71B84" w14:textId="77777777" w:rsidR="00991660" w:rsidRPr="00550BC0" w:rsidRDefault="00991660" w:rsidP="00347EA5">
            <w:pPr>
              <w:pStyle w:val="BodyTextIndent2"/>
              <w:numPr>
                <w:ilvl w:val="0"/>
                <w:numId w:val="5"/>
              </w:numPr>
              <w:tabs>
                <w:tab w:val="clear" w:pos="720"/>
                <w:tab w:val="num" w:pos="624"/>
              </w:tabs>
              <w:ind w:left="624" w:hanging="624"/>
              <w:jc w:val="left"/>
              <w:rPr>
                <w:rFonts w:ascii="Arial" w:hAnsi="Arial" w:cs="Arial"/>
              </w:rPr>
            </w:pPr>
            <w:r w:rsidRPr="00550BC0">
              <w:rPr>
                <w:rFonts w:ascii="Arial" w:hAnsi="Arial" w:cs="Arial"/>
                <w:lang w:eastAsia="en-US"/>
              </w:rPr>
              <w:t>Note the position of the revenue budget;</w:t>
            </w:r>
          </w:p>
          <w:p w14:paraId="42A75598" w14:textId="77777777" w:rsidR="00F72E0D" w:rsidRDefault="00991660" w:rsidP="00347EA5">
            <w:pPr>
              <w:pStyle w:val="BodyTextIndent2"/>
              <w:numPr>
                <w:ilvl w:val="0"/>
                <w:numId w:val="5"/>
              </w:numPr>
              <w:tabs>
                <w:tab w:val="clear" w:pos="720"/>
                <w:tab w:val="num" w:pos="624"/>
              </w:tabs>
              <w:ind w:left="624" w:hanging="624"/>
              <w:jc w:val="left"/>
              <w:rPr>
                <w:rFonts w:ascii="Arial" w:hAnsi="Arial" w:cs="Arial"/>
              </w:rPr>
            </w:pPr>
            <w:r w:rsidRPr="00550BC0">
              <w:rPr>
                <w:rFonts w:ascii="Arial" w:hAnsi="Arial" w:cs="Arial"/>
                <w:lang w:eastAsia="en-US"/>
              </w:rPr>
              <w:t>Approve virements to the revenue budget, where requested;</w:t>
            </w:r>
          </w:p>
          <w:p w14:paraId="288B7C5D" w14:textId="52AE81D8" w:rsidR="00922173" w:rsidRPr="00922173" w:rsidRDefault="00922173" w:rsidP="00922173">
            <w:pPr>
              <w:pStyle w:val="BodyTextIndent2"/>
              <w:numPr>
                <w:ilvl w:val="0"/>
                <w:numId w:val="5"/>
              </w:numPr>
              <w:tabs>
                <w:tab w:val="clear" w:pos="720"/>
                <w:tab w:val="num" w:pos="624"/>
              </w:tabs>
              <w:ind w:left="624" w:hanging="624"/>
              <w:jc w:val="left"/>
              <w:rPr>
                <w:rFonts w:ascii="Arial" w:hAnsi="Arial" w:cs="Arial"/>
              </w:rPr>
            </w:pPr>
            <w:r w:rsidRPr="00922173">
              <w:rPr>
                <w:rFonts w:ascii="Arial" w:hAnsi="Arial" w:cs="Arial"/>
                <w:lang w:eastAsia="en-US"/>
              </w:rPr>
              <w:t>Note the</w:t>
            </w:r>
            <w:r>
              <w:rPr>
                <w:rFonts w:ascii="Arial" w:hAnsi="Arial" w:cs="Arial"/>
                <w:lang w:eastAsia="en-US"/>
              </w:rPr>
              <w:t xml:space="preserve"> annual</w:t>
            </w:r>
            <w:r w:rsidRPr="00922173">
              <w:rPr>
                <w:rFonts w:ascii="Arial" w:hAnsi="Arial" w:cs="Arial"/>
                <w:lang w:eastAsia="en-US"/>
              </w:rPr>
              <w:t xml:space="preserve"> review of </w:t>
            </w:r>
            <w:r w:rsidR="00811856">
              <w:rPr>
                <w:rFonts w:ascii="Arial" w:hAnsi="Arial" w:cs="Arial"/>
                <w:lang w:eastAsia="en-US"/>
              </w:rPr>
              <w:t>treasury activities for 2013/14;</w:t>
            </w:r>
          </w:p>
          <w:p w14:paraId="0A2ED4F4" w14:textId="77777777" w:rsidR="009C7FA8" w:rsidRPr="00550BC0" w:rsidRDefault="00991660" w:rsidP="00347EA5">
            <w:pPr>
              <w:pStyle w:val="BodyTextIndent2"/>
              <w:numPr>
                <w:ilvl w:val="0"/>
                <w:numId w:val="5"/>
              </w:numPr>
              <w:tabs>
                <w:tab w:val="clear" w:pos="720"/>
                <w:tab w:val="num" w:pos="624"/>
              </w:tabs>
              <w:ind w:left="624" w:hanging="624"/>
              <w:jc w:val="left"/>
              <w:rPr>
                <w:rFonts w:ascii="Arial" w:hAnsi="Arial" w:cs="Arial"/>
              </w:rPr>
            </w:pPr>
            <w:r w:rsidRPr="00550BC0">
              <w:rPr>
                <w:rFonts w:ascii="Arial" w:hAnsi="Arial" w:cs="Arial"/>
                <w:lang w:eastAsia="en-US"/>
              </w:rPr>
              <w:t>Note performance against prudential indicators to date in 201</w:t>
            </w:r>
            <w:r w:rsidR="00922173">
              <w:rPr>
                <w:rFonts w:ascii="Arial" w:hAnsi="Arial" w:cs="Arial"/>
                <w:lang w:eastAsia="en-US"/>
              </w:rPr>
              <w:t>4</w:t>
            </w:r>
            <w:r w:rsidRPr="00550BC0">
              <w:rPr>
                <w:rFonts w:ascii="Arial" w:hAnsi="Arial" w:cs="Arial"/>
                <w:lang w:eastAsia="en-US"/>
              </w:rPr>
              <w:t>/1</w:t>
            </w:r>
            <w:r w:rsidR="00922173">
              <w:rPr>
                <w:rFonts w:ascii="Arial" w:hAnsi="Arial" w:cs="Arial"/>
                <w:lang w:eastAsia="en-US"/>
              </w:rPr>
              <w:t>5</w:t>
            </w:r>
            <w:r w:rsidRPr="00550BC0">
              <w:rPr>
                <w:rFonts w:ascii="Arial" w:hAnsi="Arial" w:cs="Arial"/>
                <w:lang w:eastAsia="en-US"/>
              </w:rPr>
              <w:t>;</w:t>
            </w:r>
            <w:r w:rsidR="004F3062">
              <w:rPr>
                <w:rFonts w:ascii="Arial" w:hAnsi="Arial" w:cs="Arial"/>
                <w:lang w:eastAsia="en-US"/>
              </w:rPr>
              <w:t xml:space="preserve"> and</w:t>
            </w:r>
          </w:p>
          <w:p w14:paraId="41AC4DF6" w14:textId="77777777" w:rsidR="009C7FA8" w:rsidRPr="00550BC0" w:rsidRDefault="00991660" w:rsidP="00347EA5">
            <w:pPr>
              <w:pStyle w:val="BodyTextIndent2"/>
              <w:numPr>
                <w:ilvl w:val="0"/>
                <w:numId w:val="5"/>
              </w:numPr>
              <w:tabs>
                <w:tab w:val="clear" w:pos="720"/>
                <w:tab w:val="num" w:pos="624"/>
              </w:tabs>
              <w:ind w:left="624" w:hanging="624"/>
              <w:jc w:val="left"/>
              <w:rPr>
                <w:rFonts w:ascii="Arial" w:hAnsi="Arial" w:cs="Arial"/>
              </w:rPr>
            </w:pPr>
            <w:r w:rsidRPr="00550BC0">
              <w:rPr>
                <w:rFonts w:ascii="Arial" w:hAnsi="Arial" w:cs="Arial"/>
                <w:lang w:eastAsia="en-US"/>
              </w:rPr>
              <w:t>Note the mid-year review of treasury activities for 201</w:t>
            </w:r>
            <w:r w:rsidR="00922173">
              <w:rPr>
                <w:rFonts w:ascii="Arial" w:hAnsi="Arial" w:cs="Arial"/>
                <w:lang w:eastAsia="en-US"/>
              </w:rPr>
              <w:t>4</w:t>
            </w:r>
            <w:r w:rsidRPr="00550BC0">
              <w:rPr>
                <w:rFonts w:ascii="Arial" w:hAnsi="Arial" w:cs="Arial"/>
                <w:lang w:eastAsia="en-US"/>
              </w:rPr>
              <w:t>/1</w:t>
            </w:r>
            <w:r w:rsidR="00922173">
              <w:rPr>
                <w:rFonts w:ascii="Arial" w:hAnsi="Arial" w:cs="Arial"/>
                <w:lang w:eastAsia="en-US"/>
              </w:rPr>
              <w:t>5</w:t>
            </w:r>
            <w:r w:rsidRPr="00550BC0">
              <w:rPr>
                <w:rFonts w:ascii="Arial" w:hAnsi="Arial" w:cs="Arial"/>
                <w:lang w:eastAsia="en-US"/>
              </w:rPr>
              <w:t>.</w:t>
            </w:r>
          </w:p>
          <w:p w14:paraId="0A37AE7D" w14:textId="77777777" w:rsidR="00591426" w:rsidRDefault="00591426" w:rsidP="00F72E0D"/>
        </w:tc>
      </w:tr>
    </w:tbl>
    <w:p w14:paraId="10DC8401" w14:textId="77777777" w:rsidR="00591426" w:rsidRDefault="00591426" w:rsidP="00F72E0D">
      <w:pPr>
        <w:rPr>
          <w:rFonts w:ascii="Arial" w:hAnsi="Arial" w:cs="Arial"/>
        </w:rPr>
      </w:pPr>
    </w:p>
    <w:p w14:paraId="76C0DFF8" w14:textId="77777777" w:rsidR="00347EA5" w:rsidRPr="006D45C8" w:rsidRDefault="00347EA5" w:rsidP="00F72E0D">
      <w:pPr>
        <w:rPr>
          <w:rFonts w:ascii="Arial" w:hAnsi="Arial" w:cs="Arial"/>
        </w:rPr>
      </w:pPr>
    </w:p>
    <w:p w14:paraId="605D237B" w14:textId="77777777" w:rsidR="00591426" w:rsidRDefault="00591426" w:rsidP="00341866">
      <w:pPr>
        <w:pStyle w:val="sssubhead1"/>
      </w:pPr>
      <w:r>
        <w:t>Background</w:t>
      </w:r>
    </w:p>
    <w:p w14:paraId="7026FF38" w14:textId="77777777" w:rsidR="00591426" w:rsidRDefault="00591426" w:rsidP="00BA6DFE">
      <w:pPr>
        <w:ind w:left="720"/>
        <w:rPr>
          <w:rFonts w:ascii="Arial" w:hAnsi="Arial" w:cs="Arial"/>
        </w:rPr>
      </w:pPr>
    </w:p>
    <w:p w14:paraId="231A09DF" w14:textId="1D0F1604" w:rsidR="00BA6DFE" w:rsidRPr="00BA6DFE" w:rsidRDefault="00BA6DFE" w:rsidP="00347EA5">
      <w:pPr>
        <w:autoSpaceDE w:val="0"/>
        <w:autoSpaceDN w:val="0"/>
        <w:adjustRightInd w:val="0"/>
        <w:ind w:left="709"/>
        <w:rPr>
          <w:rFonts w:ascii="Arial" w:hAnsi="Arial" w:cs="Arial"/>
        </w:rPr>
      </w:pPr>
      <w:r w:rsidRPr="00BA6DFE">
        <w:rPr>
          <w:rFonts w:ascii="Arial" w:hAnsi="Arial" w:cs="Arial"/>
          <w:lang w:eastAsia="en-US"/>
        </w:rPr>
        <w:t>This report comprises a review of financial performance to date for 201</w:t>
      </w:r>
      <w:r w:rsidR="00922173">
        <w:rPr>
          <w:rFonts w:ascii="Arial" w:hAnsi="Arial" w:cs="Arial"/>
          <w:lang w:eastAsia="en-US"/>
        </w:rPr>
        <w:t>4</w:t>
      </w:r>
      <w:r w:rsidRPr="00BA6DFE">
        <w:rPr>
          <w:rFonts w:ascii="Arial" w:hAnsi="Arial" w:cs="Arial"/>
          <w:lang w:eastAsia="en-US"/>
        </w:rPr>
        <w:t>/1</w:t>
      </w:r>
      <w:r w:rsidR="00922173">
        <w:rPr>
          <w:rFonts w:ascii="Arial" w:hAnsi="Arial" w:cs="Arial"/>
          <w:lang w:eastAsia="en-US"/>
        </w:rPr>
        <w:t>5</w:t>
      </w:r>
      <w:r w:rsidRPr="00BA6DFE">
        <w:rPr>
          <w:rFonts w:ascii="Arial" w:hAnsi="Arial" w:cs="Arial"/>
          <w:lang w:eastAsia="en-US"/>
        </w:rPr>
        <w:t>,</w:t>
      </w:r>
      <w:r w:rsidR="00811856">
        <w:rPr>
          <w:rFonts w:ascii="Arial" w:hAnsi="Arial" w:cs="Arial"/>
          <w:lang w:eastAsia="en-US"/>
        </w:rPr>
        <w:t xml:space="preserve"> </w:t>
      </w:r>
      <w:r>
        <w:rPr>
          <w:rFonts w:ascii="Arial" w:hAnsi="Arial" w:cs="Arial"/>
          <w:lang w:eastAsia="en-US"/>
        </w:rPr>
        <w:t>a</w:t>
      </w:r>
      <w:r w:rsidRPr="00BA6DFE">
        <w:rPr>
          <w:rFonts w:ascii="Arial" w:hAnsi="Arial" w:cs="Arial"/>
          <w:lang w:eastAsia="en-US"/>
        </w:rPr>
        <w:t xml:space="preserve">nd encompasses the monitoring of revenue budgets </w:t>
      </w:r>
      <w:r>
        <w:rPr>
          <w:rFonts w:ascii="Arial" w:hAnsi="Arial" w:cs="Arial"/>
          <w:lang w:eastAsia="en-US"/>
        </w:rPr>
        <w:t xml:space="preserve">and </w:t>
      </w:r>
      <w:r w:rsidRPr="00BA6DFE">
        <w:rPr>
          <w:rFonts w:ascii="Arial" w:hAnsi="Arial" w:cs="Arial"/>
          <w:lang w:eastAsia="en-US"/>
        </w:rPr>
        <w:t>the review of treasury management activities, including prudential indicators.</w:t>
      </w:r>
      <w:r w:rsidR="002304D6">
        <w:rPr>
          <w:rFonts w:ascii="Arial" w:hAnsi="Arial" w:cs="Arial"/>
          <w:lang w:eastAsia="en-US"/>
        </w:rPr>
        <w:t xml:space="preserve"> </w:t>
      </w:r>
      <w:r w:rsidR="00922173">
        <w:rPr>
          <w:rFonts w:ascii="Arial" w:hAnsi="Arial" w:cs="Arial"/>
          <w:lang w:eastAsia="en-US"/>
        </w:rPr>
        <w:t xml:space="preserve"> An annual review of treasury activities for 2013/14 is also included in the report.</w:t>
      </w:r>
    </w:p>
    <w:p w14:paraId="38F973AC" w14:textId="77777777" w:rsidR="009C7FA8" w:rsidRPr="006D45C8" w:rsidRDefault="009C7FA8" w:rsidP="00F72E0D">
      <w:pPr>
        <w:rPr>
          <w:rFonts w:ascii="Arial" w:hAnsi="Arial" w:cs="Arial"/>
        </w:rPr>
      </w:pPr>
    </w:p>
    <w:p w14:paraId="54D76826" w14:textId="77777777" w:rsidR="00591426" w:rsidRDefault="00D564D7" w:rsidP="00341866">
      <w:pPr>
        <w:pStyle w:val="sssubhead1"/>
      </w:pPr>
      <w:r>
        <w:t>Revenue Budget</w:t>
      </w:r>
    </w:p>
    <w:p w14:paraId="66C34B66" w14:textId="77777777" w:rsidR="00591426" w:rsidRDefault="00591426" w:rsidP="00D564D7">
      <w:pPr>
        <w:pStyle w:val="BodyTextIndent"/>
      </w:pPr>
    </w:p>
    <w:p w14:paraId="6D3080D6" w14:textId="77777777" w:rsidR="00D564D7" w:rsidRPr="00347EA5" w:rsidRDefault="00D564D7" w:rsidP="00347EA5">
      <w:pPr>
        <w:autoSpaceDE w:val="0"/>
        <w:autoSpaceDN w:val="0"/>
        <w:adjustRightInd w:val="0"/>
        <w:ind w:left="709" w:firstLine="11"/>
        <w:rPr>
          <w:rFonts w:ascii="Arial" w:hAnsi="Arial" w:cs="Arial"/>
        </w:rPr>
      </w:pPr>
      <w:r w:rsidRPr="00D564D7">
        <w:rPr>
          <w:rFonts w:ascii="Arial" w:hAnsi="Arial" w:cs="Arial"/>
          <w:lang w:eastAsia="en-US"/>
        </w:rPr>
        <w:t>Monitoring has continued on the revenue budgets for</w:t>
      </w:r>
      <w:r w:rsidR="00347EA5">
        <w:rPr>
          <w:rFonts w:ascii="Arial" w:hAnsi="Arial" w:cs="Arial"/>
          <w:lang w:eastAsia="en-US"/>
        </w:rPr>
        <w:t xml:space="preserve"> </w:t>
      </w:r>
      <w:r w:rsidRPr="00347EA5">
        <w:rPr>
          <w:rFonts w:ascii="Arial" w:hAnsi="Arial" w:cs="Arial"/>
          <w:lang w:eastAsia="en-US"/>
        </w:rPr>
        <w:t>201</w:t>
      </w:r>
      <w:r w:rsidR="00922173">
        <w:rPr>
          <w:rFonts w:ascii="Arial" w:hAnsi="Arial" w:cs="Arial"/>
          <w:lang w:eastAsia="en-US"/>
        </w:rPr>
        <w:t>4</w:t>
      </w:r>
      <w:r w:rsidRPr="00347EA5">
        <w:rPr>
          <w:rFonts w:ascii="Arial" w:hAnsi="Arial" w:cs="Arial"/>
          <w:lang w:eastAsia="en-US"/>
        </w:rPr>
        <w:t>/1</w:t>
      </w:r>
      <w:r w:rsidR="00922173">
        <w:rPr>
          <w:rFonts w:ascii="Arial" w:hAnsi="Arial" w:cs="Arial"/>
          <w:lang w:eastAsia="en-US"/>
        </w:rPr>
        <w:t>5</w:t>
      </w:r>
      <w:r w:rsidRPr="00347EA5">
        <w:rPr>
          <w:rFonts w:ascii="Arial" w:hAnsi="Arial" w:cs="Arial"/>
          <w:lang w:eastAsia="en-US"/>
        </w:rPr>
        <w:t>, and the position to September can now be reported as follows.</w:t>
      </w:r>
    </w:p>
    <w:p w14:paraId="78CB8A73" w14:textId="77777777" w:rsidR="00D564D7" w:rsidRDefault="00D564D7" w:rsidP="00F72E0D">
      <w:pPr>
        <w:pStyle w:val="BodyTextIndent"/>
      </w:pPr>
    </w:p>
    <w:p w14:paraId="338B4F98" w14:textId="77777777" w:rsidR="00341866" w:rsidRDefault="00341866" w:rsidP="00ED71B0">
      <w:pPr>
        <w:pStyle w:val="BodyTextIndent"/>
        <w:ind w:left="0"/>
      </w:pPr>
    </w:p>
    <w:tbl>
      <w:tblPr>
        <w:tblStyle w:val="TableGrid"/>
        <w:tblW w:w="0" w:type="auto"/>
        <w:tblInd w:w="720" w:type="dxa"/>
        <w:tblLook w:val="04A0" w:firstRow="1" w:lastRow="0" w:firstColumn="1" w:lastColumn="0" w:noHBand="0" w:noVBand="1"/>
      </w:tblPr>
      <w:tblGrid>
        <w:gridCol w:w="7213"/>
        <w:gridCol w:w="1084"/>
      </w:tblGrid>
      <w:tr w:rsidR="00D564D7" w14:paraId="789456D8" w14:textId="77777777" w:rsidTr="00512C7D">
        <w:trPr>
          <w:tblHeader/>
        </w:trPr>
        <w:tc>
          <w:tcPr>
            <w:tcW w:w="7213" w:type="dxa"/>
          </w:tcPr>
          <w:p w14:paraId="027950C4" w14:textId="77777777" w:rsidR="00D564D7" w:rsidRDefault="00D564D7" w:rsidP="00F72E0D">
            <w:pPr>
              <w:pStyle w:val="BodyTextIndent"/>
              <w:ind w:left="0"/>
            </w:pPr>
          </w:p>
        </w:tc>
        <w:tc>
          <w:tcPr>
            <w:tcW w:w="1084" w:type="dxa"/>
          </w:tcPr>
          <w:p w14:paraId="031C1AD1" w14:textId="77777777" w:rsidR="00D564D7" w:rsidRDefault="00D564D7" w:rsidP="00D564D7">
            <w:pPr>
              <w:autoSpaceDE w:val="0"/>
              <w:autoSpaceDN w:val="0"/>
              <w:adjustRightInd w:val="0"/>
              <w:jc w:val="center"/>
              <w:rPr>
                <w:rFonts w:ascii="Arial" w:hAnsi="Arial" w:cs="Arial"/>
                <w:b/>
                <w:bCs/>
                <w:sz w:val="23"/>
                <w:szCs w:val="23"/>
                <w:lang w:eastAsia="en-US"/>
              </w:rPr>
            </w:pPr>
            <w:r>
              <w:rPr>
                <w:rFonts w:ascii="Arial" w:hAnsi="Arial" w:cs="Arial"/>
                <w:b/>
                <w:bCs/>
                <w:sz w:val="23"/>
                <w:szCs w:val="23"/>
                <w:lang w:eastAsia="en-US"/>
              </w:rPr>
              <w:t>(Over) /</w:t>
            </w:r>
          </w:p>
          <w:p w14:paraId="683D6C76" w14:textId="77777777" w:rsidR="00D564D7" w:rsidRDefault="00D564D7" w:rsidP="00D564D7">
            <w:pPr>
              <w:autoSpaceDE w:val="0"/>
              <w:autoSpaceDN w:val="0"/>
              <w:adjustRightInd w:val="0"/>
              <w:jc w:val="center"/>
              <w:rPr>
                <w:rFonts w:ascii="Arial" w:hAnsi="Arial" w:cs="Arial"/>
                <w:b/>
                <w:bCs/>
                <w:sz w:val="23"/>
                <w:szCs w:val="23"/>
                <w:lang w:eastAsia="en-US"/>
              </w:rPr>
            </w:pPr>
            <w:r>
              <w:rPr>
                <w:rFonts w:ascii="Arial" w:hAnsi="Arial" w:cs="Arial"/>
                <w:b/>
                <w:bCs/>
                <w:sz w:val="23"/>
                <w:szCs w:val="23"/>
                <w:lang w:eastAsia="en-US"/>
              </w:rPr>
              <w:t>Under</w:t>
            </w:r>
          </w:p>
          <w:p w14:paraId="1776E5F9" w14:textId="77777777" w:rsidR="00D564D7" w:rsidRDefault="00D564D7" w:rsidP="00D564D7">
            <w:pPr>
              <w:autoSpaceDE w:val="0"/>
              <w:autoSpaceDN w:val="0"/>
              <w:adjustRightInd w:val="0"/>
              <w:jc w:val="center"/>
              <w:rPr>
                <w:rFonts w:ascii="Arial" w:hAnsi="Arial" w:cs="Arial"/>
                <w:b/>
                <w:bCs/>
                <w:sz w:val="23"/>
                <w:szCs w:val="23"/>
                <w:lang w:eastAsia="en-US"/>
              </w:rPr>
            </w:pPr>
            <w:r>
              <w:rPr>
                <w:rFonts w:ascii="Arial" w:hAnsi="Arial" w:cs="Arial"/>
                <w:b/>
                <w:bCs/>
                <w:sz w:val="23"/>
                <w:szCs w:val="23"/>
                <w:lang w:eastAsia="en-US"/>
              </w:rPr>
              <w:t>spend</w:t>
            </w:r>
          </w:p>
          <w:p w14:paraId="47613E00" w14:textId="77777777" w:rsidR="00D564D7" w:rsidRDefault="00D564D7" w:rsidP="00D564D7">
            <w:pPr>
              <w:pStyle w:val="BodyTextIndent"/>
              <w:ind w:left="0"/>
              <w:jc w:val="center"/>
            </w:pPr>
            <w:r>
              <w:rPr>
                <w:b/>
                <w:bCs/>
                <w:sz w:val="23"/>
                <w:szCs w:val="23"/>
                <w:lang w:eastAsia="en-US"/>
              </w:rPr>
              <w:t>£’000</w:t>
            </w:r>
          </w:p>
        </w:tc>
      </w:tr>
      <w:tr w:rsidR="00D564D7" w14:paraId="08952F53" w14:textId="77777777" w:rsidTr="00D564D7">
        <w:tc>
          <w:tcPr>
            <w:tcW w:w="7213" w:type="dxa"/>
          </w:tcPr>
          <w:p w14:paraId="6DD49C4B" w14:textId="79082FE1" w:rsidR="00746488" w:rsidRPr="00C71832" w:rsidRDefault="00FA6CEB" w:rsidP="00FA6CEB">
            <w:pPr>
              <w:pStyle w:val="BodyTextIndent"/>
              <w:ind w:left="0"/>
              <w:rPr>
                <w:b/>
              </w:rPr>
            </w:pPr>
            <w:r w:rsidRPr="00C71832">
              <w:rPr>
                <w:b/>
              </w:rPr>
              <w:t>Executive and Resources</w:t>
            </w:r>
          </w:p>
          <w:p w14:paraId="107CE4F5" w14:textId="77777777" w:rsidR="00FA6CEB" w:rsidRDefault="00FA6CEB" w:rsidP="00FA6CEB">
            <w:pPr>
              <w:pStyle w:val="BodyTextIndent"/>
              <w:ind w:left="0"/>
            </w:pPr>
          </w:p>
          <w:p w14:paraId="22683A49" w14:textId="2FA50424" w:rsidR="00FA6CEB" w:rsidRDefault="00FA6CEB" w:rsidP="00FA6CEB">
            <w:pPr>
              <w:pStyle w:val="BodyTextIndent"/>
              <w:ind w:left="0"/>
            </w:pPr>
            <w:r w:rsidRPr="00C71832">
              <w:rPr>
                <w:b/>
              </w:rPr>
              <w:t>Uniforms</w:t>
            </w:r>
            <w:r w:rsidR="00811856">
              <w:t xml:space="preserve"> – S</w:t>
            </w:r>
            <w:r>
              <w:t>pend in this area includes £113,000 on hel</w:t>
            </w:r>
            <w:r w:rsidR="00811856">
              <w:t>mets and additional uniforms.  I</w:t>
            </w:r>
            <w:r>
              <w:t>t is proposed that this is transferred from the Operational Equipment Reserve.</w:t>
            </w:r>
          </w:p>
          <w:p w14:paraId="1390CD9A" w14:textId="77777777" w:rsidR="00FA6CEB" w:rsidRDefault="00FA6CEB" w:rsidP="00FA6CEB">
            <w:pPr>
              <w:pStyle w:val="BodyTextIndent"/>
              <w:ind w:left="0"/>
            </w:pPr>
          </w:p>
          <w:p w14:paraId="352C4092" w14:textId="342F115A" w:rsidR="00FA6CEB" w:rsidRDefault="00FA6CEB" w:rsidP="00FA6CEB">
            <w:pPr>
              <w:pStyle w:val="BodyTextIndent"/>
              <w:ind w:left="0"/>
            </w:pPr>
            <w:r w:rsidRPr="00C71832">
              <w:rPr>
                <w:b/>
              </w:rPr>
              <w:t>Rates</w:t>
            </w:r>
            <w:r>
              <w:t xml:space="preserve"> – </w:t>
            </w:r>
            <w:r w:rsidR="00512C7D">
              <w:t>The Service has submitted appeals against the rateable values of many of its buildings, where considered to be excessive.  A number of successful appeals have resulted in refunds for the past 4 years, with further savings over the next 3</w:t>
            </w:r>
            <w:r w:rsidR="002304D6">
              <w:t> </w:t>
            </w:r>
            <w:r w:rsidR="00512C7D">
              <w:t>years.</w:t>
            </w:r>
          </w:p>
          <w:p w14:paraId="7DB600A5" w14:textId="77777777" w:rsidR="00FA6CEB" w:rsidRDefault="00FA6CEB" w:rsidP="00FA6CEB">
            <w:pPr>
              <w:pStyle w:val="BodyTextIndent"/>
              <w:ind w:left="0"/>
            </w:pPr>
          </w:p>
          <w:p w14:paraId="4A43B174" w14:textId="738F77A9" w:rsidR="00FA6CEB" w:rsidRDefault="00FA6CEB" w:rsidP="00FA6CEB">
            <w:pPr>
              <w:pStyle w:val="BodyTextIndent"/>
              <w:ind w:left="0"/>
            </w:pPr>
            <w:r w:rsidRPr="00C71832">
              <w:rPr>
                <w:b/>
              </w:rPr>
              <w:t>Revenue Contribution to Capital</w:t>
            </w:r>
            <w:r w:rsidR="00811856">
              <w:t xml:space="preserve"> – C</w:t>
            </w:r>
            <w:r>
              <w:t xml:space="preserve">apital schemes for light pumping unit and </w:t>
            </w:r>
            <w:r w:rsidR="00811856">
              <w:t>retained station building works</w:t>
            </w:r>
            <w:r>
              <w:t xml:space="preserve"> have been rescheduled to 2014/15</w:t>
            </w:r>
            <w:r w:rsidR="00811856">
              <w:t xml:space="preserve">, following Authority approval.  </w:t>
            </w:r>
            <w:r>
              <w:t>It is proposed that these schemes are funded from revenue balances.</w:t>
            </w:r>
          </w:p>
          <w:p w14:paraId="21FB7E31" w14:textId="77777777" w:rsidR="00FA6CEB" w:rsidRDefault="00FA6CEB" w:rsidP="00FA6CEB">
            <w:pPr>
              <w:pStyle w:val="BodyTextIndent"/>
              <w:ind w:left="0"/>
            </w:pPr>
          </w:p>
          <w:p w14:paraId="26E5ABE7" w14:textId="0140F221" w:rsidR="00512C7D" w:rsidRDefault="00512C7D" w:rsidP="00FA6CEB">
            <w:pPr>
              <w:pStyle w:val="BodyTextIndent"/>
              <w:ind w:left="0"/>
            </w:pPr>
            <w:r>
              <w:rPr>
                <w:b/>
              </w:rPr>
              <w:t>Furniture</w:t>
            </w:r>
            <w:r w:rsidR="00811856">
              <w:t xml:space="preserve"> – R</w:t>
            </w:r>
            <w:r>
              <w:t>eorganisation of office accommodation in Headquarters has resulted in additional expenditure in this area.</w:t>
            </w:r>
          </w:p>
          <w:p w14:paraId="56543F2B" w14:textId="77777777" w:rsidR="00512C7D" w:rsidRDefault="00512C7D" w:rsidP="00FA6CEB">
            <w:pPr>
              <w:pStyle w:val="BodyTextIndent"/>
              <w:ind w:left="0"/>
              <w:rPr>
                <w:b/>
              </w:rPr>
            </w:pPr>
          </w:p>
          <w:p w14:paraId="4824E97A" w14:textId="47AA9E1D" w:rsidR="00FA6CEB" w:rsidRDefault="00811856" w:rsidP="00FA6CEB">
            <w:pPr>
              <w:pStyle w:val="BodyTextIndent"/>
              <w:ind w:left="0"/>
            </w:pPr>
            <w:r>
              <w:rPr>
                <w:b/>
              </w:rPr>
              <w:t>Pay and</w:t>
            </w:r>
            <w:r w:rsidR="00FA6CEB" w:rsidRPr="00C71832">
              <w:rPr>
                <w:b/>
              </w:rPr>
              <w:t xml:space="preserve"> Price Contingency</w:t>
            </w:r>
            <w:r w:rsidR="00FA6CEB">
              <w:t xml:space="preserve"> – </w:t>
            </w:r>
            <w:r>
              <w:t xml:space="preserve">This is the </w:t>
            </w:r>
            <w:r w:rsidR="00FA6CEB">
              <w:t>balance of contingency</w:t>
            </w:r>
            <w:r>
              <w:t>,</w:t>
            </w:r>
            <w:r w:rsidR="00FA6CEB">
              <w:t xml:space="preserve"> following allocation of firefighter pay awards and inflation.</w:t>
            </w:r>
            <w:r w:rsidR="00ED71B0">
              <w:t xml:space="preserve"> </w:t>
            </w:r>
            <w:r>
              <w:t xml:space="preserve"> </w:t>
            </w:r>
            <w:r w:rsidR="00ED71B0">
              <w:t>This balance is reduced in future budgets.</w:t>
            </w:r>
          </w:p>
          <w:p w14:paraId="4B1DD8B1" w14:textId="77777777" w:rsidR="00FA6CEB" w:rsidRDefault="00FA6CEB" w:rsidP="00FA6CEB">
            <w:pPr>
              <w:pStyle w:val="BodyTextIndent"/>
              <w:ind w:left="0"/>
            </w:pPr>
          </w:p>
        </w:tc>
        <w:tc>
          <w:tcPr>
            <w:tcW w:w="1084" w:type="dxa"/>
          </w:tcPr>
          <w:p w14:paraId="530EE34E" w14:textId="77777777" w:rsidR="00DD0CAE" w:rsidRDefault="00DD0CAE" w:rsidP="00746488">
            <w:pPr>
              <w:pStyle w:val="BodyTextIndent"/>
              <w:ind w:left="0"/>
              <w:jc w:val="right"/>
            </w:pPr>
          </w:p>
          <w:p w14:paraId="7D32FB7A" w14:textId="77777777" w:rsidR="00FA6CEB" w:rsidRDefault="00FA6CEB" w:rsidP="00746488">
            <w:pPr>
              <w:pStyle w:val="BodyTextIndent"/>
              <w:ind w:left="0"/>
              <w:jc w:val="right"/>
            </w:pPr>
          </w:p>
          <w:p w14:paraId="27E676DA" w14:textId="77777777" w:rsidR="00FA6CEB" w:rsidRDefault="00FA6CEB" w:rsidP="00746488">
            <w:pPr>
              <w:pStyle w:val="BodyTextIndent"/>
              <w:ind w:left="0"/>
              <w:jc w:val="right"/>
            </w:pPr>
            <w:r>
              <w:t>(113)</w:t>
            </w:r>
          </w:p>
          <w:p w14:paraId="4F6A42AA" w14:textId="77777777" w:rsidR="00FA6CEB" w:rsidRDefault="00FA6CEB" w:rsidP="00746488">
            <w:pPr>
              <w:pStyle w:val="BodyTextIndent"/>
              <w:ind w:left="0"/>
              <w:jc w:val="right"/>
            </w:pPr>
          </w:p>
          <w:p w14:paraId="3A8C59D0" w14:textId="77777777" w:rsidR="00FA6CEB" w:rsidRDefault="00FA6CEB" w:rsidP="00746488">
            <w:pPr>
              <w:pStyle w:val="BodyTextIndent"/>
              <w:ind w:left="0"/>
              <w:jc w:val="right"/>
            </w:pPr>
          </w:p>
          <w:p w14:paraId="355E432D" w14:textId="77777777" w:rsidR="00FA6CEB" w:rsidRDefault="00FA6CEB" w:rsidP="00746488">
            <w:pPr>
              <w:pStyle w:val="BodyTextIndent"/>
              <w:ind w:left="0"/>
              <w:jc w:val="right"/>
            </w:pPr>
          </w:p>
          <w:p w14:paraId="7C43DB2D" w14:textId="77777777" w:rsidR="00FA6CEB" w:rsidRDefault="00FA6CEB" w:rsidP="00746488">
            <w:pPr>
              <w:pStyle w:val="BodyTextIndent"/>
              <w:ind w:left="0"/>
              <w:jc w:val="right"/>
            </w:pPr>
            <w:r>
              <w:t>167</w:t>
            </w:r>
          </w:p>
          <w:p w14:paraId="523C58A3" w14:textId="77777777" w:rsidR="00FA6CEB" w:rsidRDefault="00FA6CEB" w:rsidP="00746488">
            <w:pPr>
              <w:pStyle w:val="BodyTextIndent"/>
              <w:ind w:left="0"/>
              <w:jc w:val="right"/>
            </w:pPr>
          </w:p>
          <w:p w14:paraId="702158D4" w14:textId="77777777" w:rsidR="00FA6CEB" w:rsidRDefault="00FA6CEB" w:rsidP="00746488">
            <w:pPr>
              <w:pStyle w:val="BodyTextIndent"/>
              <w:ind w:left="0"/>
              <w:jc w:val="right"/>
            </w:pPr>
          </w:p>
          <w:p w14:paraId="371C440F" w14:textId="77777777" w:rsidR="00512C7D" w:rsidRDefault="00512C7D" w:rsidP="00FA6CEB">
            <w:pPr>
              <w:pStyle w:val="BodyTextIndent"/>
              <w:ind w:left="0"/>
              <w:jc w:val="right"/>
            </w:pPr>
          </w:p>
          <w:p w14:paraId="3D366910" w14:textId="77777777" w:rsidR="00512C7D" w:rsidRDefault="00512C7D" w:rsidP="00FA6CEB">
            <w:pPr>
              <w:pStyle w:val="BodyTextIndent"/>
              <w:ind w:left="0"/>
              <w:jc w:val="right"/>
            </w:pPr>
          </w:p>
          <w:p w14:paraId="47411594" w14:textId="77777777" w:rsidR="00512C7D" w:rsidRDefault="00512C7D" w:rsidP="00FA6CEB">
            <w:pPr>
              <w:pStyle w:val="BodyTextIndent"/>
              <w:ind w:left="0"/>
              <w:jc w:val="right"/>
            </w:pPr>
          </w:p>
          <w:p w14:paraId="4A59A145" w14:textId="6B6971D6" w:rsidR="00FA6CEB" w:rsidRDefault="00FA6CEB" w:rsidP="00FA6CEB">
            <w:pPr>
              <w:pStyle w:val="BodyTextIndent"/>
              <w:ind w:left="0"/>
              <w:jc w:val="right"/>
            </w:pPr>
            <w:r>
              <w:t>(1,020)</w:t>
            </w:r>
          </w:p>
          <w:p w14:paraId="6B8CAF67" w14:textId="77777777" w:rsidR="00FA6CEB" w:rsidRDefault="00FA6CEB" w:rsidP="00FA6CEB">
            <w:pPr>
              <w:pStyle w:val="BodyTextIndent"/>
              <w:ind w:left="0"/>
              <w:jc w:val="right"/>
            </w:pPr>
          </w:p>
          <w:p w14:paraId="0F31EC5F" w14:textId="77777777" w:rsidR="00FA6CEB" w:rsidRDefault="00FA6CEB" w:rsidP="00FA6CEB">
            <w:pPr>
              <w:pStyle w:val="BodyTextIndent"/>
              <w:ind w:left="0"/>
              <w:jc w:val="right"/>
            </w:pPr>
          </w:p>
          <w:p w14:paraId="0945A5FF" w14:textId="77777777" w:rsidR="00FA6CEB" w:rsidRDefault="00FA6CEB" w:rsidP="00FA6CEB">
            <w:pPr>
              <w:pStyle w:val="BodyTextIndent"/>
              <w:ind w:left="0"/>
              <w:jc w:val="right"/>
            </w:pPr>
          </w:p>
          <w:p w14:paraId="4FFDE4ED" w14:textId="77777777" w:rsidR="00FA6CEB" w:rsidRDefault="00FA6CEB" w:rsidP="00FA6CEB">
            <w:pPr>
              <w:pStyle w:val="BodyTextIndent"/>
              <w:ind w:left="0"/>
              <w:jc w:val="right"/>
            </w:pPr>
          </w:p>
          <w:p w14:paraId="40AA1CF0" w14:textId="261A94E6" w:rsidR="00512C7D" w:rsidRDefault="00512C7D" w:rsidP="00FA6CEB">
            <w:pPr>
              <w:pStyle w:val="BodyTextIndent"/>
              <w:ind w:left="0"/>
              <w:jc w:val="right"/>
            </w:pPr>
            <w:r>
              <w:t>(20)</w:t>
            </w:r>
          </w:p>
          <w:p w14:paraId="34A4EE40" w14:textId="77777777" w:rsidR="00512C7D" w:rsidRDefault="00512C7D" w:rsidP="00FA6CEB">
            <w:pPr>
              <w:pStyle w:val="BodyTextIndent"/>
              <w:ind w:left="0"/>
              <w:jc w:val="right"/>
            </w:pPr>
          </w:p>
          <w:p w14:paraId="708E81E8" w14:textId="77777777" w:rsidR="00512C7D" w:rsidRDefault="00512C7D" w:rsidP="00FA6CEB">
            <w:pPr>
              <w:pStyle w:val="BodyTextIndent"/>
              <w:ind w:left="0"/>
              <w:jc w:val="right"/>
            </w:pPr>
          </w:p>
          <w:p w14:paraId="5A444844" w14:textId="3654DC27" w:rsidR="00FA6CEB" w:rsidRDefault="00FA6CEB" w:rsidP="00FA6CEB">
            <w:pPr>
              <w:pStyle w:val="BodyTextIndent"/>
              <w:ind w:left="0"/>
              <w:jc w:val="right"/>
            </w:pPr>
            <w:r>
              <w:t>900</w:t>
            </w:r>
          </w:p>
        </w:tc>
      </w:tr>
      <w:tr w:rsidR="00D564D7" w14:paraId="2AF91969" w14:textId="77777777" w:rsidTr="00D564D7">
        <w:tc>
          <w:tcPr>
            <w:tcW w:w="7213" w:type="dxa"/>
          </w:tcPr>
          <w:p w14:paraId="5E4535BA" w14:textId="77777777" w:rsidR="00550BC0" w:rsidRPr="00C71832" w:rsidRDefault="00FA6CEB" w:rsidP="00F72E0D">
            <w:pPr>
              <w:pStyle w:val="BodyTextIndent"/>
              <w:ind w:left="0"/>
              <w:rPr>
                <w:b/>
              </w:rPr>
            </w:pPr>
            <w:r w:rsidRPr="00C71832">
              <w:rPr>
                <w:b/>
              </w:rPr>
              <w:t>Area Command</w:t>
            </w:r>
          </w:p>
          <w:p w14:paraId="202B11B7" w14:textId="77777777" w:rsidR="00057B69" w:rsidRDefault="00057B69" w:rsidP="00F72E0D">
            <w:pPr>
              <w:pStyle w:val="BodyTextIndent"/>
              <w:ind w:left="0"/>
            </w:pPr>
          </w:p>
          <w:p w14:paraId="2F535799" w14:textId="605E34C5" w:rsidR="00057B69" w:rsidRDefault="00057B69" w:rsidP="00F72E0D">
            <w:pPr>
              <w:pStyle w:val="BodyTextIndent"/>
              <w:ind w:left="0"/>
            </w:pPr>
            <w:r w:rsidRPr="00C71832">
              <w:rPr>
                <w:b/>
              </w:rPr>
              <w:t>Watches</w:t>
            </w:r>
            <w:r w:rsidR="00811856">
              <w:t xml:space="preserve"> – F</w:t>
            </w:r>
            <w:r>
              <w:t>our firefighter vacancies, plus reduced salary spend following industrial action deductions, have resulted in a predicted underspend at the end of the year.</w:t>
            </w:r>
          </w:p>
          <w:p w14:paraId="2B545250" w14:textId="77777777" w:rsidR="00057B69" w:rsidRDefault="00057B69" w:rsidP="00F72E0D">
            <w:pPr>
              <w:pStyle w:val="BodyTextIndent"/>
              <w:ind w:left="0"/>
            </w:pPr>
          </w:p>
          <w:p w14:paraId="5CE696B6" w14:textId="6620D8E6" w:rsidR="00057B69" w:rsidRDefault="00057B69" w:rsidP="00F72E0D">
            <w:pPr>
              <w:pStyle w:val="BodyTextIndent"/>
              <w:ind w:left="0"/>
            </w:pPr>
            <w:r w:rsidRPr="00C71832">
              <w:rPr>
                <w:b/>
              </w:rPr>
              <w:t>Overtime</w:t>
            </w:r>
            <w:r w:rsidR="00811856">
              <w:t xml:space="preserve"> – T</w:t>
            </w:r>
            <w:r>
              <w:t>here is reduced spend in this area due to industrial action working practices</w:t>
            </w:r>
            <w:r w:rsidR="00811856">
              <w:t>.</w:t>
            </w:r>
          </w:p>
          <w:p w14:paraId="1530A12E" w14:textId="77777777" w:rsidR="00057B69" w:rsidRDefault="00057B69" w:rsidP="00F72E0D">
            <w:pPr>
              <w:pStyle w:val="BodyTextIndent"/>
              <w:ind w:left="0"/>
            </w:pPr>
          </w:p>
          <w:p w14:paraId="05A42C1E" w14:textId="77777777" w:rsidR="00057B69" w:rsidRDefault="00057B69" w:rsidP="00F72E0D">
            <w:pPr>
              <w:pStyle w:val="BodyTextIndent"/>
              <w:ind w:left="0"/>
            </w:pPr>
            <w:r w:rsidRPr="00C71832">
              <w:rPr>
                <w:b/>
              </w:rPr>
              <w:t>Retained Duty System</w:t>
            </w:r>
            <w:r>
              <w:t>:</w:t>
            </w:r>
          </w:p>
          <w:p w14:paraId="063D3C8A" w14:textId="77777777" w:rsidR="00057B69" w:rsidRDefault="00057B69" w:rsidP="00F72E0D">
            <w:pPr>
              <w:pStyle w:val="BodyTextIndent"/>
              <w:ind w:left="0"/>
            </w:pPr>
            <w:r>
              <w:t>Underspends are anticipated in the following areas:</w:t>
            </w:r>
          </w:p>
          <w:p w14:paraId="7648321A" w14:textId="77777777" w:rsidR="00057B69" w:rsidRDefault="00057B69" w:rsidP="00F72E0D">
            <w:pPr>
              <w:pStyle w:val="BodyTextIndent"/>
              <w:ind w:left="0"/>
            </w:pPr>
            <w:r>
              <w:t>Retaining fee</w:t>
            </w:r>
          </w:p>
          <w:p w14:paraId="4AB70395" w14:textId="77777777" w:rsidR="00057B69" w:rsidRDefault="00057B69" w:rsidP="00F72E0D">
            <w:pPr>
              <w:pStyle w:val="BodyTextIndent"/>
              <w:ind w:left="0"/>
            </w:pPr>
            <w:r>
              <w:t>Turnouts</w:t>
            </w:r>
          </w:p>
          <w:p w14:paraId="6A1159F2" w14:textId="77777777" w:rsidR="00057B69" w:rsidRDefault="00057B69" w:rsidP="00F72E0D">
            <w:pPr>
              <w:pStyle w:val="BodyTextIndent"/>
              <w:ind w:left="0"/>
            </w:pPr>
            <w:r>
              <w:t>Drills</w:t>
            </w:r>
          </w:p>
          <w:p w14:paraId="36B48B8E" w14:textId="77777777" w:rsidR="00057B69" w:rsidRDefault="00057B69" w:rsidP="00F72E0D">
            <w:pPr>
              <w:pStyle w:val="BodyTextIndent"/>
              <w:ind w:left="0"/>
            </w:pPr>
            <w:r>
              <w:t>Attendances</w:t>
            </w:r>
          </w:p>
          <w:p w14:paraId="475A9CFA" w14:textId="77777777" w:rsidR="00057B69" w:rsidRDefault="00057B69" w:rsidP="00F72E0D">
            <w:pPr>
              <w:pStyle w:val="BodyTextIndent"/>
              <w:ind w:left="0"/>
            </w:pPr>
          </w:p>
          <w:p w14:paraId="7A450D37" w14:textId="10F6D2DF" w:rsidR="00057B69" w:rsidRDefault="00057B69" w:rsidP="00F72E0D">
            <w:pPr>
              <w:pStyle w:val="BodyTextIndent"/>
              <w:ind w:left="0"/>
            </w:pPr>
            <w:r w:rsidRPr="00C71832">
              <w:rPr>
                <w:b/>
              </w:rPr>
              <w:t>Sickness and Modified Duties / Holiday Pay</w:t>
            </w:r>
            <w:r w:rsidR="00811856">
              <w:t xml:space="preserve"> – T</w:t>
            </w:r>
            <w:r>
              <w:t>here are additional costs here due to the change in terms and conditions for retained firefighters</w:t>
            </w:r>
            <w:r w:rsidR="00811856">
              <w:t>.</w:t>
            </w:r>
          </w:p>
          <w:p w14:paraId="4618F47C" w14:textId="77777777" w:rsidR="00057B69" w:rsidRDefault="00057B69" w:rsidP="00F72E0D">
            <w:pPr>
              <w:pStyle w:val="BodyTextIndent"/>
              <w:ind w:left="0"/>
            </w:pPr>
          </w:p>
          <w:p w14:paraId="46681C7A" w14:textId="28227CBB" w:rsidR="00057B69" w:rsidRDefault="00057B69" w:rsidP="00F72E0D">
            <w:pPr>
              <w:pStyle w:val="BodyTextIndent"/>
              <w:ind w:left="0"/>
            </w:pPr>
            <w:r w:rsidRPr="00C71832">
              <w:rPr>
                <w:b/>
              </w:rPr>
              <w:t>Additional Hours</w:t>
            </w:r>
            <w:r w:rsidR="00811856">
              <w:t xml:space="preserve"> – A</w:t>
            </w:r>
            <w:r>
              <w:t>dditional costs have been incurred on training, payments for standby at wholetime stations, and station maintenance</w:t>
            </w:r>
            <w:r w:rsidR="00811856">
              <w:t>.</w:t>
            </w:r>
          </w:p>
          <w:p w14:paraId="23194F96" w14:textId="77777777" w:rsidR="00057B69" w:rsidRDefault="00057B69" w:rsidP="00F72E0D">
            <w:pPr>
              <w:pStyle w:val="BodyTextIndent"/>
              <w:ind w:left="0"/>
            </w:pPr>
          </w:p>
          <w:p w14:paraId="6DDD8BA5" w14:textId="77777777" w:rsidR="005E5141" w:rsidRDefault="005E5141" w:rsidP="00F72E0D">
            <w:pPr>
              <w:pStyle w:val="BodyTextIndent"/>
              <w:ind w:left="0"/>
              <w:rPr>
                <w:b/>
              </w:rPr>
            </w:pPr>
          </w:p>
          <w:p w14:paraId="1D0EEA1D" w14:textId="67433818" w:rsidR="00057B69" w:rsidRDefault="00057B69" w:rsidP="00F72E0D">
            <w:pPr>
              <w:pStyle w:val="BodyTextIndent"/>
              <w:ind w:left="0"/>
            </w:pPr>
            <w:r w:rsidRPr="00C71832">
              <w:rPr>
                <w:b/>
              </w:rPr>
              <w:lastRenderedPageBreak/>
              <w:t>Pension Contributions</w:t>
            </w:r>
            <w:r w:rsidR="00811856">
              <w:t xml:space="preserve"> – A</w:t>
            </w:r>
            <w:r>
              <w:t xml:space="preserve"> permanent increase</w:t>
            </w:r>
            <w:r w:rsidR="00811856">
              <w:t xml:space="preserve"> is</w:t>
            </w:r>
            <w:r>
              <w:t xml:space="preserve"> to be made to this budget to cover increasing pension contributions</w:t>
            </w:r>
            <w:r w:rsidR="00811856">
              <w:t>.</w:t>
            </w:r>
          </w:p>
          <w:p w14:paraId="60380BFC" w14:textId="77777777" w:rsidR="00057B69" w:rsidRPr="00176A52" w:rsidRDefault="00057B69" w:rsidP="00F72E0D">
            <w:pPr>
              <w:pStyle w:val="BodyTextIndent"/>
              <w:ind w:left="0"/>
            </w:pPr>
          </w:p>
        </w:tc>
        <w:tc>
          <w:tcPr>
            <w:tcW w:w="1084" w:type="dxa"/>
          </w:tcPr>
          <w:p w14:paraId="6130BE40" w14:textId="77777777" w:rsidR="00CA05D6" w:rsidRDefault="00CA05D6" w:rsidP="00746488">
            <w:pPr>
              <w:pStyle w:val="BodyTextIndent"/>
              <w:ind w:left="0"/>
              <w:jc w:val="right"/>
            </w:pPr>
          </w:p>
          <w:p w14:paraId="25FF992F" w14:textId="77777777" w:rsidR="00057B69" w:rsidRDefault="00057B69" w:rsidP="00746488">
            <w:pPr>
              <w:pStyle w:val="BodyTextIndent"/>
              <w:ind w:left="0"/>
              <w:jc w:val="right"/>
            </w:pPr>
          </w:p>
          <w:p w14:paraId="59A4642F" w14:textId="77777777" w:rsidR="00057B69" w:rsidRDefault="00057B69" w:rsidP="00746488">
            <w:pPr>
              <w:pStyle w:val="BodyTextIndent"/>
              <w:ind w:left="0"/>
              <w:jc w:val="right"/>
            </w:pPr>
            <w:r>
              <w:t>125</w:t>
            </w:r>
          </w:p>
          <w:p w14:paraId="12A43D30" w14:textId="77777777" w:rsidR="00057B69" w:rsidRDefault="00057B69" w:rsidP="00746488">
            <w:pPr>
              <w:pStyle w:val="BodyTextIndent"/>
              <w:ind w:left="0"/>
              <w:jc w:val="right"/>
            </w:pPr>
          </w:p>
          <w:p w14:paraId="41CC134F" w14:textId="77777777" w:rsidR="00057B69" w:rsidRDefault="00057B69" w:rsidP="00746488">
            <w:pPr>
              <w:pStyle w:val="BodyTextIndent"/>
              <w:ind w:left="0"/>
              <w:jc w:val="right"/>
            </w:pPr>
          </w:p>
          <w:p w14:paraId="4D0D925E" w14:textId="77777777" w:rsidR="00057B69" w:rsidRDefault="00057B69" w:rsidP="00746488">
            <w:pPr>
              <w:pStyle w:val="BodyTextIndent"/>
              <w:ind w:left="0"/>
              <w:jc w:val="right"/>
            </w:pPr>
          </w:p>
          <w:p w14:paraId="1CB503BB" w14:textId="77777777" w:rsidR="00057B69" w:rsidRDefault="00057B69" w:rsidP="00746488">
            <w:pPr>
              <w:pStyle w:val="BodyTextIndent"/>
              <w:ind w:left="0"/>
              <w:jc w:val="right"/>
            </w:pPr>
            <w:r>
              <w:t>48</w:t>
            </w:r>
          </w:p>
          <w:p w14:paraId="675CDFC4" w14:textId="77777777" w:rsidR="00057B69" w:rsidRDefault="00057B69" w:rsidP="00746488">
            <w:pPr>
              <w:pStyle w:val="BodyTextIndent"/>
              <w:ind w:left="0"/>
              <w:jc w:val="right"/>
            </w:pPr>
          </w:p>
          <w:p w14:paraId="7101634D" w14:textId="77777777" w:rsidR="00057B69" w:rsidRDefault="00057B69" w:rsidP="00746488">
            <w:pPr>
              <w:pStyle w:val="BodyTextIndent"/>
              <w:ind w:left="0"/>
              <w:jc w:val="right"/>
            </w:pPr>
          </w:p>
          <w:p w14:paraId="5D4B7FE6" w14:textId="77777777" w:rsidR="00057B69" w:rsidRDefault="00057B69" w:rsidP="00746488">
            <w:pPr>
              <w:pStyle w:val="BodyTextIndent"/>
              <w:ind w:left="0"/>
              <w:jc w:val="right"/>
            </w:pPr>
          </w:p>
          <w:p w14:paraId="34768F5E" w14:textId="77777777" w:rsidR="00057B69" w:rsidRDefault="00057B69" w:rsidP="00746488">
            <w:pPr>
              <w:pStyle w:val="BodyTextIndent"/>
              <w:ind w:left="0"/>
              <w:jc w:val="right"/>
            </w:pPr>
          </w:p>
          <w:p w14:paraId="4366E9CE" w14:textId="77777777" w:rsidR="00057B69" w:rsidRDefault="00057B69" w:rsidP="00746488">
            <w:pPr>
              <w:pStyle w:val="BodyTextIndent"/>
              <w:ind w:left="0"/>
              <w:jc w:val="right"/>
            </w:pPr>
            <w:r>
              <w:t>30</w:t>
            </w:r>
          </w:p>
          <w:p w14:paraId="5E2469D0" w14:textId="77777777" w:rsidR="00057B69" w:rsidRDefault="00057B69" w:rsidP="00746488">
            <w:pPr>
              <w:pStyle w:val="BodyTextIndent"/>
              <w:ind w:left="0"/>
              <w:jc w:val="right"/>
            </w:pPr>
            <w:r>
              <w:t>50</w:t>
            </w:r>
          </w:p>
          <w:p w14:paraId="35FC3292" w14:textId="77777777" w:rsidR="00057B69" w:rsidRDefault="00057B69" w:rsidP="00746488">
            <w:pPr>
              <w:pStyle w:val="BodyTextIndent"/>
              <w:ind w:left="0"/>
              <w:jc w:val="right"/>
            </w:pPr>
            <w:r>
              <w:t>37</w:t>
            </w:r>
          </w:p>
          <w:p w14:paraId="272CD4FF" w14:textId="77777777" w:rsidR="00057B69" w:rsidRDefault="00057B69" w:rsidP="00746488">
            <w:pPr>
              <w:pStyle w:val="BodyTextIndent"/>
              <w:ind w:left="0"/>
              <w:jc w:val="right"/>
            </w:pPr>
            <w:r>
              <w:t>30</w:t>
            </w:r>
          </w:p>
          <w:p w14:paraId="7DF3F8D3" w14:textId="77777777" w:rsidR="00057B69" w:rsidRDefault="00057B69" w:rsidP="00746488">
            <w:pPr>
              <w:pStyle w:val="BodyTextIndent"/>
              <w:ind w:left="0"/>
              <w:jc w:val="right"/>
            </w:pPr>
          </w:p>
          <w:p w14:paraId="139DADB7" w14:textId="77777777" w:rsidR="00057B69" w:rsidRDefault="00057B69" w:rsidP="00746488">
            <w:pPr>
              <w:pStyle w:val="BodyTextIndent"/>
              <w:ind w:left="0"/>
              <w:jc w:val="right"/>
            </w:pPr>
            <w:r>
              <w:t>(115)</w:t>
            </w:r>
          </w:p>
          <w:p w14:paraId="231E1116" w14:textId="77777777" w:rsidR="00057B69" w:rsidRDefault="00057B69" w:rsidP="00746488">
            <w:pPr>
              <w:pStyle w:val="BodyTextIndent"/>
              <w:ind w:left="0"/>
              <w:jc w:val="right"/>
            </w:pPr>
          </w:p>
          <w:p w14:paraId="53823708" w14:textId="77777777" w:rsidR="00057B69" w:rsidRDefault="00057B69" w:rsidP="00746488">
            <w:pPr>
              <w:pStyle w:val="BodyTextIndent"/>
              <w:ind w:left="0"/>
              <w:jc w:val="right"/>
            </w:pPr>
          </w:p>
          <w:p w14:paraId="45861708" w14:textId="77777777" w:rsidR="00057B69" w:rsidRDefault="00057B69" w:rsidP="00746488">
            <w:pPr>
              <w:pStyle w:val="BodyTextIndent"/>
              <w:ind w:left="0"/>
              <w:jc w:val="right"/>
            </w:pPr>
          </w:p>
          <w:p w14:paraId="442E61AD" w14:textId="77777777" w:rsidR="00057B69" w:rsidRDefault="00057B69" w:rsidP="00746488">
            <w:pPr>
              <w:pStyle w:val="BodyTextIndent"/>
              <w:ind w:left="0"/>
              <w:jc w:val="right"/>
            </w:pPr>
            <w:r>
              <w:t>(90)</w:t>
            </w:r>
          </w:p>
          <w:p w14:paraId="42660689" w14:textId="77777777" w:rsidR="00057B69" w:rsidRDefault="00057B69" w:rsidP="00746488">
            <w:pPr>
              <w:pStyle w:val="BodyTextIndent"/>
              <w:ind w:left="0"/>
              <w:jc w:val="right"/>
            </w:pPr>
          </w:p>
          <w:p w14:paraId="5F1583B2" w14:textId="77777777" w:rsidR="00057B69" w:rsidRDefault="00057B69" w:rsidP="00746488">
            <w:pPr>
              <w:pStyle w:val="BodyTextIndent"/>
              <w:ind w:left="0"/>
              <w:jc w:val="right"/>
            </w:pPr>
          </w:p>
          <w:p w14:paraId="576A19E8" w14:textId="77777777" w:rsidR="00057B69" w:rsidRDefault="00057B69" w:rsidP="00746488">
            <w:pPr>
              <w:pStyle w:val="BodyTextIndent"/>
              <w:ind w:left="0"/>
              <w:jc w:val="right"/>
            </w:pPr>
          </w:p>
          <w:p w14:paraId="02220543" w14:textId="3CD8522A" w:rsidR="00A818B7" w:rsidRDefault="00A818B7" w:rsidP="00746488">
            <w:pPr>
              <w:pStyle w:val="BodyTextIndent"/>
              <w:ind w:left="0"/>
              <w:jc w:val="right"/>
            </w:pPr>
            <w:bookmarkStart w:id="0" w:name="_GoBack"/>
            <w:bookmarkEnd w:id="0"/>
          </w:p>
          <w:p w14:paraId="368F91C7" w14:textId="77777777" w:rsidR="00A818B7" w:rsidRDefault="00A818B7" w:rsidP="00746488">
            <w:pPr>
              <w:pStyle w:val="BodyTextIndent"/>
              <w:ind w:left="0"/>
              <w:jc w:val="right"/>
            </w:pPr>
          </w:p>
          <w:p w14:paraId="1C70B5BF" w14:textId="77777777" w:rsidR="00057B69" w:rsidRDefault="00057B69" w:rsidP="00746488">
            <w:pPr>
              <w:pStyle w:val="BodyTextIndent"/>
              <w:ind w:left="0"/>
              <w:jc w:val="right"/>
            </w:pPr>
            <w:r>
              <w:lastRenderedPageBreak/>
              <w:t>(50)</w:t>
            </w:r>
          </w:p>
        </w:tc>
      </w:tr>
      <w:tr w:rsidR="00CA05D6" w14:paraId="6337EB31" w14:textId="77777777" w:rsidTr="00D564D7">
        <w:tc>
          <w:tcPr>
            <w:tcW w:w="7213" w:type="dxa"/>
          </w:tcPr>
          <w:p w14:paraId="51F69048" w14:textId="77777777" w:rsidR="00CA05D6" w:rsidRPr="00C71832" w:rsidRDefault="00966814" w:rsidP="00CA05D6">
            <w:pPr>
              <w:pStyle w:val="BodyTextIndent"/>
              <w:ind w:left="0"/>
              <w:rPr>
                <w:b/>
              </w:rPr>
            </w:pPr>
            <w:r w:rsidRPr="00C71832">
              <w:rPr>
                <w:b/>
              </w:rPr>
              <w:lastRenderedPageBreak/>
              <w:t>Prevention</w:t>
            </w:r>
          </w:p>
          <w:p w14:paraId="7B0A0826" w14:textId="77777777" w:rsidR="00966814" w:rsidRDefault="00966814" w:rsidP="00CA05D6">
            <w:pPr>
              <w:pStyle w:val="BodyTextIndent"/>
              <w:ind w:left="0"/>
            </w:pPr>
          </w:p>
          <w:p w14:paraId="4AE78C85" w14:textId="60967BBC" w:rsidR="00966814" w:rsidRDefault="00811856" w:rsidP="00CA05D6">
            <w:pPr>
              <w:pStyle w:val="BodyTextIndent"/>
              <w:ind w:left="0"/>
            </w:pPr>
            <w:r>
              <w:rPr>
                <w:b/>
              </w:rPr>
              <w:t>Business and</w:t>
            </w:r>
            <w:r w:rsidR="00966814" w:rsidRPr="00C71832">
              <w:rPr>
                <w:b/>
              </w:rPr>
              <w:t xml:space="preserve"> Community Fire Safety Advocates</w:t>
            </w:r>
            <w:r>
              <w:t xml:space="preserve"> – C</w:t>
            </w:r>
            <w:r w:rsidR="00966814">
              <w:t>ontinued spend at current levels will result in an underspend</w:t>
            </w:r>
            <w:r w:rsidR="005E5141">
              <w:t>.</w:t>
            </w:r>
          </w:p>
          <w:p w14:paraId="3006A7C1" w14:textId="77777777" w:rsidR="00966814" w:rsidRDefault="00966814" w:rsidP="00CA05D6">
            <w:pPr>
              <w:pStyle w:val="BodyTextIndent"/>
              <w:ind w:left="0"/>
            </w:pPr>
          </w:p>
          <w:p w14:paraId="0A5E5E00" w14:textId="26630890" w:rsidR="00966814" w:rsidRDefault="00966814" w:rsidP="00CA05D6">
            <w:pPr>
              <w:pStyle w:val="BodyTextIndent"/>
              <w:ind w:left="0"/>
            </w:pPr>
            <w:r w:rsidRPr="00C71832">
              <w:rPr>
                <w:b/>
              </w:rPr>
              <w:t>Inspecting Officers</w:t>
            </w:r>
            <w:r w:rsidR="005E5141">
              <w:t xml:space="preserve"> – T</w:t>
            </w:r>
            <w:r>
              <w:t>wo officer vacancies will result in an underspend of £40,000 by the end of the year</w:t>
            </w:r>
            <w:r w:rsidR="005E5141">
              <w:t>.</w:t>
            </w:r>
          </w:p>
          <w:p w14:paraId="6148D308" w14:textId="77777777" w:rsidR="00966814" w:rsidRDefault="00966814" w:rsidP="00CA05D6">
            <w:pPr>
              <w:pStyle w:val="BodyTextIndent"/>
              <w:ind w:left="0"/>
            </w:pPr>
          </w:p>
        </w:tc>
        <w:tc>
          <w:tcPr>
            <w:tcW w:w="1084" w:type="dxa"/>
          </w:tcPr>
          <w:p w14:paraId="41D4BA1D" w14:textId="77777777" w:rsidR="008B40C5" w:rsidRDefault="008B40C5" w:rsidP="00CA05D6">
            <w:pPr>
              <w:pStyle w:val="BodyTextIndent"/>
              <w:ind w:left="0"/>
              <w:jc w:val="right"/>
            </w:pPr>
          </w:p>
          <w:p w14:paraId="18F4CD12" w14:textId="77777777" w:rsidR="00966814" w:rsidRDefault="00966814" w:rsidP="00CA05D6">
            <w:pPr>
              <w:pStyle w:val="BodyTextIndent"/>
              <w:ind w:left="0"/>
              <w:jc w:val="right"/>
            </w:pPr>
          </w:p>
          <w:p w14:paraId="026BD98D" w14:textId="77777777" w:rsidR="00966814" w:rsidRDefault="00966814" w:rsidP="00CA05D6">
            <w:pPr>
              <w:pStyle w:val="BodyTextIndent"/>
              <w:ind w:left="0"/>
              <w:jc w:val="right"/>
            </w:pPr>
            <w:r>
              <w:t>40</w:t>
            </w:r>
          </w:p>
          <w:p w14:paraId="7E859790" w14:textId="77777777" w:rsidR="00966814" w:rsidRDefault="00966814" w:rsidP="00CA05D6">
            <w:pPr>
              <w:pStyle w:val="BodyTextIndent"/>
              <w:ind w:left="0"/>
              <w:jc w:val="right"/>
            </w:pPr>
          </w:p>
          <w:p w14:paraId="661468FF" w14:textId="77777777" w:rsidR="00966814" w:rsidRDefault="00966814" w:rsidP="00CA05D6">
            <w:pPr>
              <w:pStyle w:val="BodyTextIndent"/>
              <w:ind w:left="0"/>
              <w:jc w:val="right"/>
            </w:pPr>
          </w:p>
          <w:p w14:paraId="380CEEF4" w14:textId="77777777" w:rsidR="00966814" w:rsidRDefault="00966814" w:rsidP="00CA05D6">
            <w:pPr>
              <w:pStyle w:val="BodyTextIndent"/>
              <w:ind w:left="0"/>
              <w:jc w:val="right"/>
            </w:pPr>
            <w:r>
              <w:t>40</w:t>
            </w:r>
          </w:p>
        </w:tc>
      </w:tr>
      <w:tr w:rsidR="00CA05D6" w14:paraId="16D07C0F" w14:textId="77777777" w:rsidTr="00D564D7">
        <w:tc>
          <w:tcPr>
            <w:tcW w:w="7213" w:type="dxa"/>
          </w:tcPr>
          <w:p w14:paraId="7346ADDC" w14:textId="77777777" w:rsidR="00966D89" w:rsidRDefault="00966814" w:rsidP="00CA05D6">
            <w:pPr>
              <w:pStyle w:val="BodyTextIndent"/>
              <w:ind w:left="0"/>
              <w:rPr>
                <w:b/>
              </w:rPr>
            </w:pPr>
            <w:r>
              <w:rPr>
                <w:b/>
              </w:rPr>
              <w:t>Human Resources and Development</w:t>
            </w:r>
          </w:p>
          <w:p w14:paraId="7988C2CF" w14:textId="77777777" w:rsidR="00966814" w:rsidRDefault="00966814" w:rsidP="00CA05D6">
            <w:pPr>
              <w:pStyle w:val="BodyTextIndent"/>
              <w:ind w:left="0"/>
              <w:rPr>
                <w:b/>
              </w:rPr>
            </w:pPr>
          </w:p>
          <w:p w14:paraId="0EA68300" w14:textId="03F2441B" w:rsidR="00966814" w:rsidRDefault="00966814" w:rsidP="00CA05D6">
            <w:pPr>
              <w:pStyle w:val="BodyTextIndent"/>
              <w:ind w:left="0"/>
            </w:pPr>
            <w:r>
              <w:rPr>
                <w:b/>
              </w:rPr>
              <w:t xml:space="preserve">Medical Reports – </w:t>
            </w:r>
            <w:r w:rsidR="005E5141">
              <w:t>C</w:t>
            </w:r>
            <w:r>
              <w:t>ontinued spend at current levels will result in an underspend</w:t>
            </w:r>
            <w:r w:rsidR="005E5141">
              <w:t>.</w:t>
            </w:r>
          </w:p>
          <w:p w14:paraId="24FC5DF6" w14:textId="77777777" w:rsidR="00966814" w:rsidRDefault="00966814" w:rsidP="00CA05D6">
            <w:pPr>
              <w:pStyle w:val="BodyTextIndent"/>
              <w:ind w:left="0"/>
            </w:pPr>
          </w:p>
          <w:p w14:paraId="00AD5A5F" w14:textId="3020F0DB" w:rsidR="00966814" w:rsidRDefault="00966814" w:rsidP="00CA05D6">
            <w:pPr>
              <w:pStyle w:val="BodyTextIndent"/>
              <w:ind w:left="0"/>
            </w:pPr>
            <w:r w:rsidRPr="00C71832">
              <w:rPr>
                <w:b/>
              </w:rPr>
              <w:t>Training</w:t>
            </w:r>
            <w:r w:rsidR="005E5141">
              <w:t xml:space="preserve"> – I</w:t>
            </w:r>
            <w:r>
              <w:t>t is unlikely that the budget for recruit training will be spent during this year</w:t>
            </w:r>
            <w:r w:rsidR="005E5141">
              <w:t>.</w:t>
            </w:r>
          </w:p>
          <w:p w14:paraId="1570A43D" w14:textId="77777777" w:rsidR="00966814" w:rsidRPr="00966814" w:rsidRDefault="00966814" w:rsidP="00CA05D6">
            <w:pPr>
              <w:pStyle w:val="BodyTextIndent"/>
              <w:ind w:left="0"/>
            </w:pPr>
          </w:p>
        </w:tc>
        <w:tc>
          <w:tcPr>
            <w:tcW w:w="1084" w:type="dxa"/>
          </w:tcPr>
          <w:p w14:paraId="1D5974B5" w14:textId="77777777" w:rsidR="00CA05D6" w:rsidRPr="00966814" w:rsidRDefault="00CA05D6" w:rsidP="00CA05D6">
            <w:pPr>
              <w:pStyle w:val="BodyTextIndent"/>
              <w:ind w:left="0"/>
              <w:jc w:val="right"/>
            </w:pPr>
          </w:p>
          <w:p w14:paraId="0BDEF9BE" w14:textId="77777777" w:rsidR="00966814" w:rsidRPr="00966814" w:rsidRDefault="00966814" w:rsidP="00CA05D6">
            <w:pPr>
              <w:pStyle w:val="BodyTextIndent"/>
              <w:ind w:left="0"/>
              <w:jc w:val="right"/>
            </w:pPr>
          </w:p>
          <w:p w14:paraId="041FAFC7" w14:textId="77777777" w:rsidR="00966814" w:rsidRPr="00966814" w:rsidRDefault="00966814" w:rsidP="00CA05D6">
            <w:pPr>
              <w:pStyle w:val="BodyTextIndent"/>
              <w:ind w:left="0"/>
              <w:jc w:val="right"/>
            </w:pPr>
            <w:r w:rsidRPr="00966814">
              <w:t>14</w:t>
            </w:r>
          </w:p>
          <w:p w14:paraId="4EA71489" w14:textId="77777777" w:rsidR="00966814" w:rsidRPr="00966814" w:rsidRDefault="00966814" w:rsidP="00CA05D6">
            <w:pPr>
              <w:pStyle w:val="BodyTextIndent"/>
              <w:ind w:left="0"/>
              <w:jc w:val="right"/>
            </w:pPr>
          </w:p>
          <w:p w14:paraId="7ACBA68B" w14:textId="77777777" w:rsidR="00966814" w:rsidRPr="00966814" w:rsidRDefault="00966814" w:rsidP="00CA05D6">
            <w:pPr>
              <w:pStyle w:val="BodyTextIndent"/>
              <w:ind w:left="0"/>
              <w:jc w:val="right"/>
            </w:pPr>
          </w:p>
          <w:p w14:paraId="71C111B0" w14:textId="77777777" w:rsidR="00966814" w:rsidRPr="00966814" w:rsidRDefault="00966814" w:rsidP="00CA05D6">
            <w:pPr>
              <w:pStyle w:val="BodyTextIndent"/>
              <w:ind w:left="0"/>
              <w:jc w:val="right"/>
            </w:pPr>
            <w:r w:rsidRPr="00966814">
              <w:t>25</w:t>
            </w:r>
          </w:p>
        </w:tc>
      </w:tr>
      <w:tr w:rsidR="00966814" w14:paraId="38A51955" w14:textId="77777777" w:rsidTr="00D564D7">
        <w:tc>
          <w:tcPr>
            <w:tcW w:w="7213" w:type="dxa"/>
          </w:tcPr>
          <w:p w14:paraId="57340D4F" w14:textId="77777777" w:rsidR="00966814" w:rsidRDefault="00966814" w:rsidP="00CA05D6">
            <w:pPr>
              <w:pStyle w:val="BodyTextIndent"/>
              <w:ind w:left="0"/>
              <w:rPr>
                <w:b/>
              </w:rPr>
            </w:pPr>
            <w:r>
              <w:rPr>
                <w:b/>
              </w:rPr>
              <w:t>Operations</w:t>
            </w:r>
          </w:p>
          <w:p w14:paraId="02EF82F1" w14:textId="77777777" w:rsidR="00966814" w:rsidRDefault="00966814" w:rsidP="00CA05D6">
            <w:pPr>
              <w:pStyle w:val="BodyTextIndent"/>
              <w:ind w:left="0"/>
              <w:rPr>
                <w:b/>
              </w:rPr>
            </w:pPr>
          </w:p>
          <w:p w14:paraId="397F18F7" w14:textId="6274C077" w:rsidR="00966814" w:rsidRDefault="00966814" w:rsidP="00CA05D6">
            <w:pPr>
              <w:pStyle w:val="BodyTextIndent"/>
              <w:ind w:left="0"/>
            </w:pPr>
            <w:r w:rsidRPr="005E5141">
              <w:rPr>
                <w:b/>
              </w:rPr>
              <w:t>Retained Control</w:t>
            </w:r>
            <w:r w:rsidR="005E5141">
              <w:t xml:space="preserve"> – T</w:t>
            </w:r>
            <w:r>
              <w:t>here will be an unspent balance in this area, however further recruitment is expected dur</w:t>
            </w:r>
            <w:r w:rsidR="005E5141">
              <w:t>ing the second half of the year.</w:t>
            </w:r>
          </w:p>
          <w:p w14:paraId="5BED8529" w14:textId="77777777" w:rsidR="00487E42" w:rsidRPr="00966814" w:rsidRDefault="00487E42" w:rsidP="00CA05D6">
            <w:pPr>
              <w:pStyle w:val="BodyTextIndent"/>
              <w:ind w:left="0"/>
            </w:pPr>
          </w:p>
        </w:tc>
        <w:tc>
          <w:tcPr>
            <w:tcW w:w="1084" w:type="dxa"/>
          </w:tcPr>
          <w:p w14:paraId="421A6709" w14:textId="77777777" w:rsidR="00966814" w:rsidRDefault="00966814" w:rsidP="00CA05D6">
            <w:pPr>
              <w:pStyle w:val="BodyTextIndent"/>
              <w:ind w:left="0"/>
              <w:jc w:val="right"/>
            </w:pPr>
          </w:p>
          <w:p w14:paraId="09EFA8C1" w14:textId="77777777" w:rsidR="00966814" w:rsidRDefault="00966814" w:rsidP="00CA05D6">
            <w:pPr>
              <w:pStyle w:val="BodyTextIndent"/>
              <w:ind w:left="0"/>
              <w:jc w:val="right"/>
            </w:pPr>
          </w:p>
          <w:p w14:paraId="4A29977B" w14:textId="77777777" w:rsidR="00966814" w:rsidRPr="00966814" w:rsidRDefault="00966814" w:rsidP="00CA05D6">
            <w:pPr>
              <w:pStyle w:val="BodyTextIndent"/>
              <w:ind w:left="0"/>
              <w:jc w:val="right"/>
            </w:pPr>
            <w:r>
              <w:t>28</w:t>
            </w:r>
          </w:p>
        </w:tc>
      </w:tr>
      <w:tr w:rsidR="00966814" w14:paraId="440F01A4" w14:textId="77777777" w:rsidTr="00D564D7">
        <w:tc>
          <w:tcPr>
            <w:tcW w:w="7213" w:type="dxa"/>
          </w:tcPr>
          <w:p w14:paraId="30C9AEF1" w14:textId="77777777" w:rsidR="00966814" w:rsidRDefault="00487E42" w:rsidP="00CA05D6">
            <w:pPr>
              <w:pStyle w:val="BodyTextIndent"/>
              <w:ind w:left="0"/>
              <w:rPr>
                <w:b/>
              </w:rPr>
            </w:pPr>
            <w:r>
              <w:rPr>
                <w:b/>
              </w:rPr>
              <w:t>Total</w:t>
            </w:r>
          </w:p>
        </w:tc>
        <w:tc>
          <w:tcPr>
            <w:tcW w:w="1084" w:type="dxa"/>
          </w:tcPr>
          <w:p w14:paraId="44491DF4" w14:textId="2A4A0338" w:rsidR="00966814" w:rsidRPr="00487E42" w:rsidRDefault="00487E42" w:rsidP="00512C7D">
            <w:pPr>
              <w:pStyle w:val="BodyTextIndent"/>
              <w:ind w:left="0"/>
              <w:jc w:val="right"/>
              <w:rPr>
                <w:b/>
              </w:rPr>
            </w:pPr>
            <w:r w:rsidRPr="00487E42">
              <w:rPr>
                <w:b/>
              </w:rPr>
              <w:t>1</w:t>
            </w:r>
            <w:r w:rsidR="00512C7D">
              <w:rPr>
                <w:b/>
              </w:rPr>
              <w:t>2</w:t>
            </w:r>
            <w:r w:rsidR="00C71832">
              <w:rPr>
                <w:b/>
              </w:rPr>
              <w:t>6</w:t>
            </w:r>
          </w:p>
        </w:tc>
      </w:tr>
    </w:tbl>
    <w:p w14:paraId="0EBECEEB" w14:textId="77777777" w:rsidR="005C0E78" w:rsidRDefault="005C0E78" w:rsidP="0071686E">
      <w:pPr>
        <w:pStyle w:val="BodyTextIndent"/>
        <w:ind w:left="0"/>
      </w:pPr>
    </w:p>
    <w:p w14:paraId="34088074" w14:textId="77777777" w:rsidR="005E5141" w:rsidRPr="00D564D7" w:rsidRDefault="005E5141" w:rsidP="0071686E">
      <w:pPr>
        <w:pStyle w:val="BodyTextIndent"/>
        <w:ind w:left="0"/>
      </w:pPr>
    </w:p>
    <w:p w14:paraId="4914B4C8" w14:textId="77777777" w:rsidR="009C7FA8" w:rsidRPr="00347EA5" w:rsidRDefault="00D564D7" w:rsidP="00347EA5">
      <w:pPr>
        <w:autoSpaceDE w:val="0"/>
        <w:autoSpaceDN w:val="0"/>
        <w:adjustRightInd w:val="0"/>
        <w:ind w:left="709"/>
        <w:rPr>
          <w:rFonts w:ascii="Arial" w:hAnsi="Arial" w:cs="Arial"/>
          <w:lang w:eastAsia="en-US"/>
        </w:rPr>
      </w:pPr>
      <w:r w:rsidRPr="00D564D7">
        <w:rPr>
          <w:rFonts w:ascii="Arial" w:hAnsi="Arial" w:cs="Arial"/>
          <w:lang w:eastAsia="en-US"/>
        </w:rPr>
        <w:t>It is proposed that</w:t>
      </w:r>
      <w:r w:rsidR="008329DD">
        <w:rPr>
          <w:rFonts w:ascii="Arial" w:hAnsi="Arial" w:cs="Arial"/>
          <w:lang w:eastAsia="en-US"/>
        </w:rPr>
        <w:t>, unless specified,</w:t>
      </w:r>
      <w:r w:rsidRPr="00D564D7">
        <w:rPr>
          <w:rFonts w:ascii="Arial" w:hAnsi="Arial" w:cs="Arial"/>
          <w:lang w:eastAsia="en-US"/>
        </w:rPr>
        <w:t xml:space="preserve"> variances will be transferred to individual contingencies,</w:t>
      </w:r>
      <w:r w:rsidR="00347EA5">
        <w:rPr>
          <w:rFonts w:ascii="Arial" w:hAnsi="Arial" w:cs="Arial"/>
          <w:lang w:eastAsia="en-US"/>
        </w:rPr>
        <w:t xml:space="preserve"> </w:t>
      </w:r>
      <w:r w:rsidR="00D06356" w:rsidRPr="00347EA5">
        <w:rPr>
          <w:rFonts w:ascii="Arial" w:hAnsi="Arial" w:cs="Arial"/>
          <w:lang w:eastAsia="en-US"/>
        </w:rPr>
        <w:t>where</w:t>
      </w:r>
      <w:r w:rsidRPr="00347EA5">
        <w:rPr>
          <w:rFonts w:ascii="Arial" w:hAnsi="Arial" w:cs="Arial"/>
          <w:lang w:eastAsia="en-US"/>
        </w:rPr>
        <w:t xml:space="preserve"> they will be managed with future variances.</w:t>
      </w:r>
    </w:p>
    <w:p w14:paraId="3A684B53" w14:textId="77777777" w:rsidR="00D564D7" w:rsidRPr="00D564D7" w:rsidRDefault="00D564D7" w:rsidP="00D564D7">
      <w:pPr>
        <w:pStyle w:val="BodyTextIndent"/>
        <w:ind w:left="0" w:firstLine="720"/>
      </w:pPr>
    </w:p>
    <w:p w14:paraId="4E1E93DB" w14:textId="77777777" w:rsidR="008735E3" w:rsidRPr="0065556B" w:rsidRDefault="008735E3" w:rsidP="00341866">
      <w:pPr>
        <w:ind w:left="709"/>
        <w:rPr>
          <w:rFonts w:ascii="Arial" w:hAnsi="Arial" w:cs="Arial"/>
          <w:b/>
        </w:rPr>
      </w:pPr>
      <w:r w:rsidRPr="0065556B">
        <w:rPr>
          <w:rFonts w:ascii="Arial" w:hAnsi="Arial" w:cs="Arial"/>
          <w:b/>
        </w:rPr>
        <w:t>Service Transformation Programme</w:t>
      </w:r>
    </w:p>
    <w:p w14:paraId="061B1732" w14:textId="77777777" w:rsidR="008735E3" w:rsidRPr="0065556B" w:rsidRDefault="008735E3" w:rsidP="0065556B">
      <w:pPr>
        <w:ind w:left="567"/>
        <w:rPr>
          <w:rFonts w:ascii="Arial" w:hAnsi="Arial" w:cs="Arial"/>
        </w:rPr>
      </w:pPr>
    </w:p>
    <w:p w14:paraId="675FC5F6" w14:textId="7706E903" w:rsidR="008735E3" w:rsidRPr="005C0E78" w:rsidRDefault="008735E3" w:rsidP="005E5141">
      <w:pPr>
        <w:ind w:left="709"/>
        <w:rPr>
          <w:rFonts w:ascii="Arial" w:hAnsi="Arial" w:cs="Arial"/>
          <w:lang w:eastAsia="en-US"/>
        </w:rPr>
      </w:pPr>
      <w:r w:rsidRPr="0065556B">
        <w:rPr>
          <w:rFonts w:ascii="Arial" w:hAnsi="Arial" w:cs="Arial"/>
        </w:rPr>
        <w:t>Costs of staff seconded to projects within the Service Transformation Programme total £</w:t>
      </w:r>
      <w:r w:rsidR="006206E3" w:rsidRPr="006206E3">
        <w:rPr>
          <w:rFonts w:ascii="Arial" w:hAnsi="Arial" w:cs="Arial"/>
        </w:rPr>
        <w:t>108</w:t>
      </w:r>
      <w:r w:rsidRPr="006206E3">
        <w:rPr>
          <w:rFonts w:ascii="Arial" w:hAnsi="Arial" w:cs="Arial"/>
        </w:rPr>
        <w:t>,000</w:t>
      </w:r>
      <w:r w:rsidRPr="0065556B">
        <w:rPr>
          <w:rFonts w:ascii="Arial" w:hAnsi="Arial" w:cs="Arial"/>
        </w:rPr>
        <w:t xml:space="preserve"> for the first six months of the year. </w:t>
      </w:r>
      <w:r w:rsidR="005C0E78" w:rsidRPr="0065556B">
        <w:rPr>
          <w:rFonts w:ascii="Arial" w:hAnsi="Arial" w:cs="Arial"/>
        </w:rPr>
        <w:t xml:space="preserve"> </w:t>
      </w:r>
      <w:r w:rsidRPr="0065556B">
        <w:rPr>
          <w:rFonts w:ascii="Arial" w:hAnsi="Arial" w:cs="Arial"/>
        </w:rPr>
        <w:t>These costs</w:t>
      </w:r>
      <w:r w:rsidR="005E5141">
        <w:rPr>
          <w:rFonts w:ascii="Arial" w:hAnsi="Arial" w:cs="Arial"/>
        </w:rPr>
        <w:t xml:space="preserve"> include Human Resources and Information and Communications Technology (ICT)</w:t>
      </w:r>
      <w:r w:rsidRPr="0065556B">
        <w:rPr>
          <w:rFonts w:ascii="Arial" w:hAnsi="Arial" w:cs="Arial"/>
        </w:rPr>
        <w:t xml:space="preserve"> support, and also costs associated with the implementation of </w:t>
      </w:r>
      <w:r w:rsidR="00966D89" w:rsidRPr="0065556B">
        <w:rPr>
          <w:rFonts w:ascii="Arial" w:hAnsi="Arial" w:cs="Arial"/>
        </w:rPr>
        <w:t>SharePoint</w:t>
      </w:r>
      <w:r w:rsidRPr="0065556B">
        <w:rPr>
          <w:rFonts w:ascii="Arial" w:hAnsi="Arial" w:cs="Arial"/>
        </w:rPr>
        <w:t>.</w:t>
      </w:r>
    </w:p>
    <w:p w14:paraId="68CDEEE3" w14:textId="009C2824" w:rsidR="005E5141" w:rsidRDefault="005E5141">
      <w:pPr>
        <w:rPr>
          <w:rFonts w:ascii="Arial" w:hAnsi="Arial" w:cs="Arial"/>
          <w:b/>
        </w:rPr>
      </w:pPr>
    </w:p>
    <w:p w14:paraId="603A5491" w14:textId="009C2824" w:rsidR="008735E3" w:rsidRPr="00341866" w:rsidRDefault="008735E3" w:rsidP="00341866">
      <w:pPr>
        <w:ind w:left="709"/>
        <w:rPr>
          <w:rFonts w:ascii="Arial" w:hAnsi="Arial" w:cs="Arial"/>
          <w:b/>
        </w:rPr>
      </w:pPr>
      <w:r w:rsidRPr="00341866">
        <w:rPr>
          <w:rFonts w:ascii="Arial" w:hAnsi="Arial" w:cs="Arial"/>
          <w:b/>
        </w:rPr>
        <w:t>Memorandum of Understanding – Control Room Project</w:t>
      </w:r>
    </w:p>
    <w:p w14:paraId="38CB3596" w14:textId="77777777" w:rsidR="008735E3" w:rsidRPr="00341866" w:rsidRDefault="008735E3" w:rsidP="00341866">
      <w:pPr>
        <w:ind w:left="567"/>
        <w:rPr>
          <w:rFonts w:ascii="Arial" w:hAnsi="Arial" w:cs="Arial"/>
          <w:b/>
        </w:rPr>
      </w:pPr>
      <w:r w:rsidRPr="00341866">
        <w:rPr>
          <w:rFonts w:ascii="Arial" w:hAnsi="Arial" w:cs="Arial"/>
          <w:b/>
        </w:rPr>
        <w:tab/>
      </w:r>
    </w:p>
    <w:p w14:paraId="66D39F72" w14:textId="234B1F2A" w:rsidR="008735E3" w:rsidRPr="00341866" w:rsidRDefault="008735E3" w:rsidP="00341866">
      <w:pPr>
        <w:ind w:left="709"/>
        <w:rPr>
          <w:rFonts w:ascii="Arial" w:hAnsi="Arial" w:cs="Arial"/>
        </w:rPr>
      </w:pPr>
      <w:r w:rsidRPr="00341866">
        <w:rPr>
          <w:rFonts w:ascii="Arial" w:hAnsi="Arial" w:cs="Arial"/>
        </w:rPr>
        <w:t>Costs of staff seconded to the M</w:t>
      </w:r>
      <w:r w:rsidR="002304D6">
        <w:rPr>
          <w:rFonts w:ascii="Arial" w:hAnsi="Arial" w:cs="Arial"/>
        </w:rPr>
        <w:t>emorandum of Understanding</w:t>
      </w:r>
      <w:r w:rsidRPr="00341866">
        <w:rPr>
          <w:rFonts w:ascii="Arial" w:hAnsi="Arial" w:cs="Arial"/>
        </w:rPr>
        <w:t xml:space="preserve"> programme of </w:t>
      </w:r>
      <w:r w:rsidRPr="006206E3">
        <w:rPr>
          <w:rFonts w:ascii="Arial" w:hAnsi="Arial" w:cs="Arial"/>
        </w:rPr>
        <w:t>projects total £8</w:t>
      </w:r>
      <w:r w:rsidR="006206E3" w:rsidRPr="006206E3">
        <w:rPr>
          <w:rFonts w:ascii="Arial" w:hAnsi="Arial" w:cs="Arial"/>
        </w:rPr>
        <w:t>8</w:t>
      </w:r>
      <w:r w:rsidRPr="006206E3">
        <w:rPr>
          <w:rFonts w:ascii="Arial" w:hAnsi="Arial" w:cs="Arial"/>
        </w:rPr>
        <w:t>,000 for</w:t>
      </w:r>
      <w:r w:rsidRPr="00341866">
        <w:rPr>
          <w:rFonts w:ascii="Arial" w:hAnsi="Arial" w:cs="Arial"/>
        </w:rPr>
        <w:t xml:space="preserve"> the first six months of the year. </w:t>
      </w:r>
      <w:r w:rsidR="005C0E78" w:rsidRPr="00341866">
        <w:rPr>
          <w:rFonts w:ascii="Arial" w:hAnsi="Arial" w:cs="Arial"/>
        </w:rPr>
        <w:t xml:space="preserve"> </w:t>
      </w:r>
      <w:r w:rsidRPr="00341866">
        <w:rPr>
          <w:rFonts w:ascii="Arial" w:hAnsi="Arial" w:cs="Arial"/>
        </w:rPr>
        <w:t>These costs include the Project Manager and ICT and Communications support.</w:t>
      </w:r>
    </w:p>
    <w:p w14:paraId="5F98BE17" w14:textId="77777777" w:rsidR="008735E3" w:rsidRPr="00341866" w:rsidRDefault="008735E3" w:rsidP="00341866">
      <w:pPr>
        <w:pStyle w:val="PlainText"/>
        <w:ind w:left="567"/>
        <w:rPr>
          <w:rFonts w:ascii="Arial" w:hAnsi="Arial" w:cs="Arial"/>
          <w:sz w:val="24"/>
          <w:szCs w:val="24"/>
          <w:lang w:eastAsia="en-US"/>
        </w:rPr>
      </w:pPr>
    </w:p>
    <w:p w14:paraId="01C164DB" w14:textId="77777777" w:rsidR="008735E3" w:rsidRPr="008735E3" w:rsidRDefault="008735E3" w:rsidP="008735E3">
      <w:pPr>
        <w:pStyle w:val="PlainText"/>
        <w:ind w:left="720"/>
        <w:rPr>
          <w:rFonts w:ascii="Arial" w:hAnsi="Arial" w:cs="Arial"/>
          <w:sz w:val="24"/>
          <w:szCs w:val="24"/>
          <w:lang w:eastAsia="en-US"/>
        </w:rPr>
      </w:pPr>
      <w:r>
        <w:rPr>
          <w:rFonts w:ascii="Arial" w:hAnsi="Arial" w:cs="Arial"/>
          <w:sz w:val="24"/>
          <w:szCs w:val="24"/>
          <w:lang w:eastAsia="en-US"/>
        </w:rPr>
        <w:t xml:space="preserve">Funds are available for these staff costs, within the Service Transformation Programme Staff Reserve and the ICT Reserve (Control grant) respectively. </w:t>
      </w:r>
      <w:r w:rsidR="005C0E78">
        <w:rPr>
          <w:rFonts w:ascii="Arial" w:hAnsi="Arial" w:cs="Arial"/>
          <w:sz w:val="24"/>
          <w:szCs w:val="24"/>
          <w:lang w:eastAsia="en-US"/>
        </w:rPr>
        <w:t xml:space="preserve"> </w:t>
      </w:r>
      <w:r>
        <w:rPr>
          <w:rFonts w:ascii="Arial" w:hAnsi="Arial" w:cs="Arial"/>
          <w:sz w:val="24"/>
          <w:szCs w:val="24"/>
          <w:lang w:eastAsia="en-US"/>
        </w:rPr>
        <w:t>Members are requested to approve the transfer of funds from reserves into the revenue budget.</w:t>
      </w:r>
    </w:p>
    <w:p w14:paraId="305FA37E" w14:textId="5E90D153" w:rsidR="005E5141" w:rsidRDefault="005E5141">
      <w:pPr>
        <w:rPr>
          <w:rFonts w:ascii="Arial" w:hAnsi="Arial" w:cs="Arial"/>
          <w:b/>
          <w:bCs/>
          <w:sz w:val="28"/>
          <w:szCs w:val="28"/>
          <w:lang w:eastAsia="en-US"/>
        </w:rPr>
      </w:pPr>
    </w:p>
    <w:p w14:paraId="0017FEEA" w14:textId="5E90D153" w:rsidR="00883A23" w:rsidRPr="00883A23" w:rsidRDefault="00883A23" w:rsidP="00883A23">
      <w:pPr>
        <w:pStyle w:val="sssubhead1"/>
        <w:rPr>
          <w:snapToGrid w:val="0"/>
        </w:rPr>
      </w:pPr>
      <w:r w:rsidRPr="00883A23">
        <w:lastRenderedPageBreak/>
        <w:t>Annual Treasury Review 201</w:t>
      </w:r>
      <w:r w:rsidR="00C74D95">
        <w:t>3</w:t>
      </w:r>
      <w:r w:rsidRPr="00883A23">
        <w:t>/1</w:t>
      </w:r>
      <w:r w:rsidR="00C74D95">
        <w:t>4</w:t>
      </w:r>
    </w:p>
    <w:p w14:paraId="339B0025" w14:textId="77777777" w:rsidR="00883A23" w:rsidRPr="00A43B48" w:rsidRDefault="00883A23" w:rsidP="00883A23">
      <w:pPr>
        <w:widowControl w:val="0"/>
        <w:ind w:left="720"/>
        <w:rPr>
          <w:rFonts w:ascii="Arial" w:hAnsi="Arial" w:cs="Arial"/>
          <w:snapToGrid w:val="0"/>
          <w:lang w:eastAsia="en-US"/>
        </w:rPr>
      </w:pPr>
    </w:p>
    <w:p w14:paraId="5C615A91" w14:textId="77777777" w:rsidR="00883A23" w:rsidRPr="00A43B48" w:rsidRDefault="00883A23" w:rsidP="00883A23">
      <w:pPr>
        <w:widowControl w:val="0"/>
        <w:ind w:left="720"/>
        <w:rPr>
          <w:rFonts w:ascii="Arial" w:hAnsi="Arial" w:cs="Arial"/>
          <w:b/>
          <w:snapToGrid w:val="0"/>
          <w:lang w:eastAsia="en-US"/>
        </w:rPr>
      </w:pPr>
      <w:r w:rsidRPr="00A43B48">
        <w:rPr>
          <w:rFonts w:ascii="Arial" w:hAnsi="Arial" w:cs="Arial"/>
          <w:b/>
          <w:snapToGrid w:val="0"/>
          <w:lang w:eastAsia="en-US"/>
        </w:rPr>
        <w:t>Compliance with the Treasury Policy Statement</w:t>
      </w:r>
    </w:p>
    <w:p w14:paraId="1DDC4CF6" w14:textId="77777777" w:rsidR="00883A23" w:rsidRPr="00A43B48" w:rsidRDefault="00883A23" w:rsidP="00883A23">
      <w:pPr>
        <w:ind w:left="720"/>
        <w:rPr>
          <w:rFonts w:ascii="Arial" w:hAnsi="Arial" w:cs="Arial"/>
        </w:rPr>
      </w:pPr>
    </w:p>
    <w:p w14:paraId="27813C81" w14:textId="4E388429" w:rsidR="00883A23" w:rsidRPr="00A43B48" w:rsidRDefault="00883A23" w:rsidP="00883A23">
      <w:pPr>
        <w:ind w:left="720"/>
        <w:rPr>
          <w:rFonts w:ascii="Arial" w:hAnsi="Arial" w:cs="Arial"/>
        </w:rPr>
      </w:pPr>
      <w:r w:rsidRPr="00A43B48">
        <w:rPr>
          <w:rFonts w:ascii="Arial" w:hAnsi="Arial" w:cs="Arial"/>
        </w:rPr>
        <w:t xml:space="preserve">This review is presented in accordance with the Fire Authority’s Treasury Policy Statement, which complies with the </w:t>
      </w:r>
      <w:r w:rsidR="002304D6" w:rsidRPr="00A43B48">
        <w:rPr>
          <w:rFonts w:ascii="Arial" w:hAnsi="Arial" w:cs="Arial"/>
          <w:szCs w:val="23"/>
          <w:lang w:eastAsia="en-US"/>
        </w:rPr>
        <w:t xml:space="preserve">Chartered Institute of Public Finance and Accountancy’s </w:t>
      </w:r>
      <w:r w:rsidR="002304D6">
        <w:rPr>
          <w:rFonts w:ascii="Arial" w:hAnsi="Arial" w:cs="Arial"/>
          <w:szCs w:val="23"/>
          <w:lang w:eastAsia="en-US"/>
        </w:rPr>
        <w:t>(</w:t>
      </w:r>
      <w:r w:rsidRPr="00A43B48">
        <w:rPr>
          <w:rFonts w:ascii="Arial" w:hAnsi="Arial" w:cs="Arial"/>
        </w:rPr>
        <w:t>CIPFA</w:t>
      </w:r>
      <w:r w:rsidR="002304D6">
        <w:rPr>
          <w:rFonts w:ascii="Arial" w:hAnsi="Arial" w:cs="Arial"/>
        </w:rPr>
        <w:t>)</w:t>
      </w:r>
      <w:r w:rsidRPr="00A43B48">
        <w:rPr>
          <w:rFonts w:ascii="Arial" w:hAnsi="Arial" w:cs="Arial"/>
        </w:rPr>
        <w:t xml:space="preserve"> Code of Practice on Treasury Manag</w:t>
      </w:r>
      <w:r w:rsidR="005E5141">
        <w:rPr>
          <w:rFonts w:ascii="Arial" w:hAnsi="Arial" w:cs="Arial"/>
        </w:rPr>
        <w:t>ement in Local Authorities.  The Code</w:t>
      </w:r>
      <w:r w:rsidRPr="00A43B48">
        <w:rPr>
          <w:rFonts w:ascii="Arial" w:hAnsi="Arial" w:cs="Arial"/>
        </w:rPr>
        <w:t xml:space="preserve"> requires an annual review report of the previous year.</w:t>
      </w:r>
    </w:p>
    <w:p w14:paraId="23FAF11D" w14:textId="77777777" w:rsidR="00883A23" w:rsidRPr="00A43B48" w:rsidRDefault="00883A23" w:rsidP="00883A23">
      <w:pPr>
        <w:tabs>
          <w:tab w:val="num" w:pos="1260"/>
        </w:tabs>
        <w:ind w:left="1260" w:hanging="540"/>
        <w:rPr>
          <w:rFonts w:ascii="Arial" w:hAnsi="Arial" w:cs="Arial"/>
        </w:rPr>
      </w:pPr>
    </w:p>
    <w:p w14:paraId="6D00AD9D" w14:textId="77777777" w:rsidR="00883A23" w:rsidRPr="00A43B48" w:rsidRDefault="00883A23" w:rsidP="00883A23">
      <w:pPr>
        <w:ind w:left="720"/>
        <w:rPr>
          <w:rFonts w:ascii="Arial" w:hAnsi="Arial" w:cs="Arial"/>
        </w:rPr>
      </w:pPr>
      <w:r w:rsidRPr="00A43B48">
        <w:rPr>
          <w:rFonts w:ascii="Arial" w:hAnsi="Arial" w:cs="Arial"/>
        </w:rPr>
        <w:t>This is the annual review report for 201</w:t>
      </w:r>
      <w:r w:rsidR="004A0A6B">
        <w:rPr>
          <w:rFonts w:ascii="Arial" w:hAnsi="Arial" w:cs="Arial"/>
        </w:rPr>
        <w:t>3</w:t>
      </w:r>
      <w:r w:rsidRPr="00A43B48">
        <w:rPr>
          <w:rFonts w:ascii="Arial" w:hAnsi="Arial" w:cs="Arial"/>
        </w:rPr>
        <w:t>/1</w:t>
      </w:r>
      <w:r w:rsidR="004A0A6B">
        <w:rPr>
          <w:rFonts w:ascii="Arial" w:hAnsi="Arial" w:cs="Arial"/>
        </w:rPr>
        <w:t>4</w:t>
      </w:r>
      <w:r w:rsidRPr="00A43B48">
        <w:rPr>
          <w:rFonts w:ascii="Arial" w:hAnsi="Arial" w:cs="Arial"/>
        </w:rPr>
        <w:t>.</w:t>
      </w:r>
    </w:p>
    <w:p w14:paraId="4E115632" w14:textId="77777777" w:rsidR="00883A23" w:rsidRPr="00A43B48" w:rsidRDefault="00883A23" w:rsidP="00883A23">
      <w:pPr>
        <w:ind w:left="720"/>
        <w:rPr>
          <w:rFonts w:ascii="Arial" w:hAnsi="Arial" w:cs="Arial"/>
        </w:rPr>
      </w:pPr>
    </w:p>
    <w:p w14:paraId="0A24A73D" w14:textId="77777777" w:rsidR="00883A23" w:rsidRPr="00A43B48" w:rsidRDefault="00883A23" w:rsidP="00883A23">
      <w:pPr>
        <w:ind w:left="720"/>
        <w:rPr>
          <w:rFonts w:ascii="Arial" w:hAnsi="Arial" w:cs="Arial"/>
          <w:b/>
        </w:rPr>
      </w:pPr>
      <w:r w:rsidRPr="00A43B48">
        <w:rPr>
          <w:rFonts w:ascii="Arial" w:hAnsi="Arial" w:cs="Arial"/>
          <w:b/>
        </w:rPr>
        <w:t>Treasury Management</w:t>
      </w:r>
    </w:p>
    <w:p w14:paraId="3B30984A" w14:textId="77777777" w:rsidR="00883A23" w:rsidRPr="00A43B48" w:rsidRDefault="00883A23" w:rsidP="00883A23">
      <w:pPr>
        <w:ind w:left="720"/>
        <w:rPr>
          <w:rFonts w:ascii="Arial" w:hAnsi="Arial" w:cs="Arial"/>
        </w:rPr>
      </w:pPr>
    </w:p>
    <w:p w14:paraId="524F3383" w14:textId="77777777" w:rsidR="00883A23" w:rsidRPr="00A43B48" w:rsidRDefault="00883A23" w:rsidP="00883A23">
      <w:pPr>
        <w:ind w:left="720"/>
        <w:rPr>
          <w:rFonts w:ascii="Arial" w:hAnsi="Arial" w:cs="Arial"/>
        </w:rPr>
      </w:pPr>
      <w:r w:rsidRPr="00A43B48">
        <w:rPr>
          <w:rFonts w:ascii="Arial" w:hAnsi="Arial" w:cs="Arial"/>
        </w:rPr>
        <w:t>Treasury Management in this context is defined as “The management of the local authority’s, investments, cash flows, its banking, money market and capital market transactions, the effective control of the risks associated with those activities, and the pursuit of optimum performance consistent with those risks.”</w:t>
      </w:r>
    </w:p>
    <w:p w14:paraId="43780042" w14:textId="77777777" w:rsidR="00883A23" w:rsidRPr="00A43B48" w:rsidRDefault="00883A23" w:rsidP="00883A23">
      <w:pPr>
        <w:ind w:left="720"/>
        <w:rPr>
          <w:rFonts w:ascii="Arial" w:hAnsi="Arial" w:cs="Arial"/>
        </w:rPr>
      </w:pPr>
    </w:p>
    <w:p w14:paraId="6DAEAB61" w14:textId="77777777" w:rsidR="00883A23" w:rsidRPr="00A43B48" w:rsidRDefault="00883A23" w:rsidP="00883A23">
      <w:pPr>
        <w:ind w:left="720"/>
        <w:rPr>
          <w:rFonts w:ascii="Arial" w:hAnsi="Arial" w:cs="Arial"/>
        </w:rPr>
      </w:pPr>
      <w:r w:rsidRPr="00A43B48">
        <w:rPr>
          <w:rFonts w:ascii="Arial" w:hAnsi="Arial" w:cs="Arial"/>
        </w:rPr>
        <w:t>Shropshire Council (SC) carries out treasury management on behalf of the Fire Authority.  This entails their monitoring bank balances, investing surplus cash in the short term and arranging and advising on borrowing, both long-term and short-term.  In practice, investment and borrowing for the Fire Authority is carried out alongside, and in the same manner as, that for the Council.</w:t>
      </w:r>
    </w:p>
    <w:p w14:paraId="60F1AC69" w14:textId="77777777" w:rsidR="00883A23" w:rsidRPr="00A43B48" w:rsidRDefault="00883A23" w:rsidP="00883A23">
      <w:pPr>
        <w:ind w:left="720"/>
        <w:rPr>
          <w:rFonts w:ascii="Arial" w:hAnsi="Arial" w:cs="Arial"/>
        </w:rPr>
      </w:pPr>
    </w:p>
    <w:p w14:paraId="327021DF" w14:textId="77777777" w:rsidR="00883A23" w:rsidRPr="00A43B48" w:rsidRDefault="00883A23" w:rsidP="00883A23">
      <w:pPr>
        <w:ind w:left="720"/>
        <w:rPr>
          <w:rFonts w:ascii="Arial" w:hAnsi="Arial" w:cs="Arial"/>
          <w:b/>
        </w:rPr>
      </w:pPr>
      <w:r w:rsidRPr="00A43B48">
        <w:rPr>
          <w:rFonts w:ascii="Arial" w:hAnsi="Arial" w:cs="Arial"/>
          <w:b/>
        </w:rPr>
        <w:t>Current Portfolio</w:t>
      </w:r>
    </w:p>
    <w:p w14:paraId="12D026CE" w14:textId="77777777" w:rsidR="00883A23" w:rsidRPr="00A43B48" w:rsidRDefault="00883A23" w:rsidP="00883A23">
      <w:pPr>
        <w:ind w:left="720"/>
        <w:rPr>
          <w:rFonts w:ascii="Arial" w:hAnsi="Arial" w:cs="Arial"/>
        </w:rPr>
      </w:pPr>
    </w:p>
    <w:p w14:paraId="566D688E" w14:textId="77777777" w:rsidR="00883A23" w:rsidRPr="00A43B48" w:rsidRDefault="00883A23" w:rsidP="00883A23">
      <w:pPr>
        <w:ind w:left="720"/>
        <w:rPr>
          <w:rFonts w:ascii="Arial" w:hAnsi="Arial" w:cs="Arial"/>
        </w:rPr>
      </w:pPr>
      <w:r w:rsidRPr="00A43B48">
        <w:rPr>
          <w:rFonts w:ascii="Arial" w:hAnsi="Arial" w:cs="Arial"/>
        </w:rPr>
        <w:t>The Fire Authority’s treasury position at 31 March 201</w:t>
      </w:r>
      <w:r w:rsidR="00C74D95">
        <w:rPr>
          <w:rFonts w:ascii="Arial" w:hAnsi="Arial" w:cs="Arial"/>
        </w:rPr>
        <w:t>4</w:t>
      </w:r>
      <w:r w:rsidRPr="00A43B48">
        <w:rPr>
          <w:rFonts w:ascii="Arial" w:hAnsi="Arial" w:cs="Arial"/>
        </w:rPr>
        <w:t xml:space="preserve"> is set out below with the previous year in brackets.</w:t>
      </w:r>
    </w:p>
    <w:p w14:paraId="3E50E082" w14:textId="77777777" w:rsidR="00883A23" w:rsidRPr="00A43B48" w:rsidRDefault="00883A23" w:rsidP="00883A23">
      <w:pPr>
        <w:ind w:left="720"/>
        <w:rPr>
          <w:rFonts w:ascii="Arial" w:hAnsi="Arial" w:cs="Arial"/>
        </w:rPr>
      </w:pPr>
    </w:p>
    <w:tbl>
      <w:tblPr>
        <w:tblW w:w="8280" w:type="dxa"/>
        <w:tblInd w:w="828" w:type="dxa"/>
        <w:tblLook w:val="01E0" w:firstRow="1" w:lastRow="1" w:firstColumn="1" w:lastColumn="1" w:noHBand="0" w:noVBand="0"/>
      </w:tblPr>
      <w:tblGrid>
        <w:gridCol w:w="443"/>
        <w:gridCol w:w="3940"/>
        <w:gridCol w:w="2075"/>
        <w:gridCol w:w="1822"/>
      </w:tblGrid>
      <w:tr w:rsidR="00883A23" w:rsidRPr="00A43B48" w14:paraId="6A97B808" w14:textId="77777777" w:rsidTr="002B7518">
        <w:trPr>
          <w:trHeight w:val="818"/>
        </w:trPr>
        <w:tc>
          <w:tcPr>
            <w:tcW w:w="4383" w:type="dxa"/>
            <w:gridSpan w:val="2"/>
          </w:tcPr>
          <w:p w14:paraId="3FC1BBA9" w14:textId="77777777" w:rsidR="00883A23" w:rsidRPr="00A43B48" w:rsidRDefault="00883A23" w:rsidP="002B7518">
            <w:pPr>
              <w:jc w:val="center"/>
              <w:rPr>
                <w:rFonts w:ascii="Arial" w:hAnsi="Arial" w:cs="Arial"/>
                <w:b/>
              </w:rPr>
            </w:pPr>
          </w:p>
        </w:tc>
        <w:tc>
          <w:tcPr>
            <w:tcW w:w="2075" w:type="dxa"/>
          </w:tcPr>
          <w:p w14:paraId="06491379" w14:textId="77777777" w:rsidR="00883A23" w:rsidRPr="00A43B48" w:rsidRDefault="00883A23" w:rsidP="002B7518">
            <w:pPr>
              <w:jc w:val="center"/>
              <w:rPr>
                <w:rFonts w:ascii="Arial" w:hAnsi="Arial" w:cs="Arial"/>
                <w:b/>
              </w:rPr>
            </w:pPr>
            <w:r w:rsidRPr="00A43B48">
              <w:rPr>
                <w:rFonts w:ascii="Arial" w:hAnsi="Arial" w:cs="Arial"/>
                <w:b/>
              </w:rPr>
              <w:t>Balance at</w:t>
            </w:r>
          </w:p>
          <w:p w14:paraId="3C7CAA9A" w14:textId="77777777" w:rsidR="00883A23" w:rsidRPr="00A43B48" w:rsidRDefault="00883A23" w:rsidP="002B7518">
            <w:pPr>
              <w:jc w:val="center"/>
              <w:rPr>
                <w:rFonts w:ascii="Arial" w:hAnsi="Arial" w:cs="Arial"/>
                <w:b/>
              </w:rPr>
            </w:pPr>
            <w:r w:rsidRPr="00A43B48">
              <w:rPr>
                <w:rFonts w:ascii="Arial" w:hAnsi="Arial" w:cs="Arial"/>
                <w:b/>
              </w:rPr>
              <w:t>31 March 201</w:t>
            </w:r>
            <w:r w:rsidR="00C74D95">
              <w:rPr>
                <w:rFonts w:ascii="Arial" w:hAnsi="Arial" w:cs="Arial"/>
                <w:b/>
              </w:rPr>
              <w:t>4</w:t>
            </w:r>
          </w:p>
          <w:p w14:paraId="15A99EC7" w14:textId="77777777" w:rsidR="00883A23" w:rsidRPr="00A43B48" w:rsidRDefault="00883A23" w:rsidP="002B7518">
            <w:pPr>
              <w:jc w:val="center"/>
              <w:rPr>
                <w:rFonts w:ascii="Arial" w:hAnsi="Arial" w:cs="Arial"/>
                <w:b/>
              </w:rPr>
            </w:pPr>
            <w:r w:rsidRPr="00A43B48">
              <w:rPr>
                <w:rFonts w:ascii="Arial" w:hAnsi="Arial" w:cs="Arial"/>
                <w:b/>
              </w:rPr>
              <w:t>£000</w:t>
            </w:r>
          </w:p>
        </w:tc>
        <w:tc>
          <w:tcPr>
            <w:tcW w:w="1822" w:type="dxa"/>
          </w:tcPr>
          <w:p w14:paraId="273D010D" w14:textId="77777777" w:rsidR="00883A23" w:rsidRPr="00A43B48" w:rsidRDefault="00883A23" w:rsidP="002B7518">
            <w:pPr>
              <w:jc w:val="center"/>
              <w:rPr>
                <w:rFonts w:ascii="Arial" w:hAnsi="Arial" w:cs="Arial"/>
                <w:b/>
              </w:rPr>
            </w:pPr>
            <w:r w:rsidRPr="00A43B48">
              <w:rPr>
                <w:rFonts w:ascii="Arial" w:hAnsi="Arial" w:cs="Arial"/>
                <w:b/>
              </w:rPr>
              <w:t>Interest Rate</w:t>
            </w:r>
          </w:p>
          <w:p w14:paraId="6A5E1182" w14:textId="77777777" w:rsidR="00883A23" w:rsidRPr="00A43B48" w:rsidRDefault="00883A23" w:rsidP="002B7518">
            <w:pPr>
              <w:jc w:val="center"/>
              <w:rPr>
                <w:rFonts w:ascii="Arial" w:hAnsi="Arial" w:cs="Arial"/>
                <w:b/>
              </w:rPr>
            </w:pPr>
            <w:r w:rsidRPr="00A43B48">
              <w:rPr>
                <w:rFonts w:ascii="Arial" w:hAnsi="Arial" w:cs="Arial"/>
                <w:vertAlign w:val="superscript"/>
              </w:rPr>
              <w:t xml:space="preserve">1 </w:t>
            </w:r>
            <w:r w:rsidRPr="00A43B48">
              <w:rPr>
                <w:rFonts w:ascii="Arial" w:hAnsi="Arial" w:cs="Arial"/>
                <w:b/>
              </w:rPr>
              <w:t>201</w:t>
            </w:r>
            <w:r w:rsidR="00C74D95">
              <w:rPr>
                <w:rFonts w:ascii="Arial" w:hAnsi="Arial" w:cs="Arial"/>
                <w:b/>
              </w:rPr>
              <w:t>3</w:t>
            </w:r>
            <w:r w:rsidRPr="00A43B48">
              <w:rPr>
                <w:rFonts w:ascii="Arial" w:hAnsi="Arial" w:cs="Arial"/>
                <w:b/>
              </w:rPr>
              <w:t>/1</w:t>
            </w:r>
            <w:r w:rsidR="00C74D95">
              <w:rPr>
                <w:rFonts w:ascii="Arial" w:hAnsi="Arial" w:cs="Arial"/>
                <w:b/>
              </w:rPr>
              <w:t>4</w:t>
            </w:r>
          </w:p>
          <w:p w14:paraId="35D29480" w14:textId="77777777" w:rsidR="00883A23" w:rsidRPr="00A43B48" w:rsidRDefault="00883A23" w:rsidP="002B7518">
            <w:pPr>
              <w:jc w:val="center"/>
              <w:rPr>
                <w:rFonts w:ascii="Arial" w:hAnsi="Arial" w:cs="Arial"/>
                <w:b/>
              </w:rPr>
            </w:pPr>
            <w:r w:rsidRPr="00A43B48">
              <w:rPr>
                <w:rFonts w:ascii="Arial" w:hAnsi="Arial" w:cs="Arial"/>
                <w:b/>
              </w:rPr>
              <w:t>%</w:t>
            </w:r>
          </w:p>
        </w:tc>
      </w:tr>
      <w:tr w:rsidR="00883A23" w:rsidRPr="00A43B48" w14:paraId="4DE04E52" w14:textId="77777777" w:rsidTr="002B7518">
        <w:trPr>
          <w:trHeight w:val="710"/>
        </w:trPr>
        <w:tc>
          <w:tcPr>
            <w:tcW w:w="443" w:type="dxa"/>
          </w:tcPr>
          <w:p w14:paraId="597BFA53" w14:textId="77777777" w:rsidR="00883A23" w:rsidRPr="00A43B48" w:rsidRDefault="00883A23" w:rsidP="002B7518">
            <w:pPr>
              <w:rPr>
                <w:rFonts w:ascii="Arial" w:hAnsi="Arial" w:cs="Arial"/>
                <w:b/>
              </w:rPr>
            </w:pPr>
            <w:r w:rsidRPr="00A43B48">
              <w:rPr>
                <w:rFonts w:ascii="Arial" w:hAnsi="Arial" w:cs="Arial"/>
                <w:b/>
              </w:rPr>
              <w:t>a)</w:t>
            </w:r>
          </w:p>
        </w:tc>
        <w:tc>
          <w:tcPr>
            <w:tcW w:w="3940" w:type="dxa"/>
          </w:tcPr>
          <w:p w14:paraId="043F1FD1" w14:textId="77777777" w:rsidR="00883A23" w:rsidRPr="00A43B48" w:rsidRDefault="00883A23" w:rsidP="002B7518">
            <w:pPr>
              <w:rPr>
                <w:rFonts w:ascii="Arial" w:hAnsi="Arial" w:cs="Arial"/>
                <w:b/>
              </w:rPr>
            </w:pPr>
            <w:r w:rsidRPr="00A43B48">
              <w:rPr>
                <w:rFonts w:ascii="Arial" w:hAnsi="Arial" w:cs="Arial"/>
                <w:b/>
              </w:rPr>
              <w:t>Outstanding debt for capital purposes</w:t>
            </w:r>
          </w:p>
          <w:p w14:paraId="139525BB" w14:textId="789BF2DC" w:rsidR="00883A23" w:rsidRPr="00A43B48" w:rsidRDefault="00883A23" w:rsidP="002304D6">
            <w:pPr>
              <w:rPr>
                <w:rFonts w:ascii="Arial" w:hAnsi="Arial" w:cs="Arial"/>
              </w:rPr>
            </w:pPr>
            <w:r w:rsidRPr="00A43B48">
              <w:rPr>
                <w:rFonts w:ascii="Arial" w:hAnsi="Arial" w:cs="Arial"/>
              </w:rPr>
              <w:t>Fixed Rate</w:t>
            </w:r>
          </w:p>
        </w:tc>
        <w:tc>
          <w:tcPr>
            <w:tcW w:w="2075" w:type="dxa"/>
          </w:tcPr>
          <w:p w14:paraId="5BD531E7" w14:textId="77777777" w:rsidR="00883A23" w:rsidRPr="00A43B48" w:rsidRDefault="00883A23" w:rsidP="002B7518">
            <w:pPr>
              <w:jc w:val="center"/>
              <w:rPr>
                <w:rFonts w:ascii="Arial" w:hAnsi="Arial" w:cs="Arial"/>
                <w:b/>
              </w:rPr>
            </w:pPr>
          </w:p>
          <w:p w14:paraId="1CE842E3" w14:textId="77777777" w:rsidR="00883A23" w:rsidRPr="00A43B48" w:rsidRDefault="00883A23" w:rsidP="002B7518">
            <w:pPr>
              <w:jc w:val="center"/>
              <w:rPr>
                <w:rFonts w:ascii="Arial" w:hAnsi="Arial" w:cs="Arial"/>
                <w:b/>
              </w:rPr>
            </w:pPr>
            <w:r w:rsidRPr="00A43B48">
              <w:rPr>
                <w:rFonts w:ascii="Arial" w:hAnsi="Arial" w:cs="Arial"/>
                <w:b/>
              </w:rPr>
              <w:t>5,810 (5,810)</w:t>
            </w:r>
          </w:p>
        </w:tc>
        <w:tc>
          <w:tcPr>
            <w:tcW w:w="1822" w:type="dxa"/>
          </w:tcPr>
          <w:p w14:paraId="155ABB62" w14:textId="77777777" w:rsidR="00883A23" w:rsidRPr="00A43B48" w:rsidRDefault="00883A23" w:rsidP="002B7518">
            <w:pPr>
              <w:jc w:val="center"/>
              <w:rPr>
                <w:rFonts w:ascii="Arial" w:hAnsi="Arial" w:cs="Arial"/>
                <w:b/>
              </w:rPr>
            </w:pPr>
          </w:p>
          <w:p w14:paraId="54D36BED" w14:textId="77777777" w:rsidR="00883A23" w:rsidRPr="00A43B48" w:rsidRDefault="00883A23" w:rsidP="002B7518">
            <w:pPr>
              <w:jc w:val="center"/>
              <w:rPr>
                <w:rFonts w:ascii="Arial" w:hAnsi="Arial" w:cs="Arial"/>
                <w:b/>
              </w:rPr>
            </w:pPr>
            <w:r w:rsidRPr="00A43B48">
              <w:rPr>
                <w:rFonts w:ascii="Arial" w:hAnsi="Arial" w:cs="Arial"/>
                <w:b/>
              </w:rPr>
              <w:t>4.49 (4.49)</w:t>
            </w:r>
          </w:p>
        </w:tc>
      </w:tr>
      <w:tr w:rsidR="00883A23" w:rsidRPr="00A43B48" w14:paraId="4C30C58E" w14:textId="77777777" w:rsidTr="002B7518">
        <w:trPr>
          <w:trHeight w:val="710"/>
        </w:trPr>
        <w:tc>
          <w:tcPr>
            <w:tcW w:w="443" w:type="dxa"/>
          </w:tcPr>
          <w:p w14:paraId="312976DB" w14:textId="77777777" w:rsidR="00883A23" w:rsidRPr="00A43B48" w:rsidRDefault="00883A23" w:rsidP="002B7518">
            <w:pPr>
              <w:rPr>
                <w:rFonts w:ascii="Arial" w:hAnsi="Arial" w:cs="Arial"/>
                <w:b/>
              </w:rPr>
            </w:pPr>
            <w:r w:rsidRPr="00A43B48">
              <w:rPr>
                <w:rFonts w:ascii="Arial" w:hAnsi="Arial" w:cs="Arial"/>
                <w:b/>
              </w:rPr>
              <w:t>b)</w:t>
            </w:r>
          </w:p>
        </w:tc>
        <w:tc>
          <w:tcPr>
            <w:tcW w:w="3940" w:type="dxa"/>
          </w:tcPr>
          <w:p w14:paraId="1EC18BF3" w14:textId="77777777" w:rsidR="00883A23" w:rsidRPr="00A43B48" w:rsidRDefault="00883A23" w:rsidP="002B7518">
            <w:pPr>
              <w:rPr>
                <w:rFonts w:ascii="Arial" w:hAnsi="Arial" w:cs="Arial"/>
                <w:b/>
              </w:rPr>
            </w:pPr>
            <w:r w:rsidRPr="00A43B48">
              <w:rPr>
                <w:rFonts w:ascii="Arial" w:hAnsi="Arial" w:cs="Arial"/>
                <w:b/>
              </w:rPr>
              <w:t>Investments</w:t>
            </w:r>
          </w:p>
          <w:p w14:paraId="04ADCC3F" w14:textId="5EDB05D8" w:rsidR="00883A23" w:rsidRPr="00A43B48" w:rsidRDefault="00883A23" w:rsidP="002B7518">
            <w:pPr>
              <w:rPr>
                <w:rFonts w:ascii="Arial" w:hAnsi="Arial" w:cs="Arial"/>
              </w:rPr>
            </w:pPr>
            <w:r w:rsidRPr="00A43B48">
              <w:rPr>
                <w:rFonts w:ascii="Arial" w:hAnsi="Arial" w:cs="Arial"/>
              </w:rPr>
              <w:t>SC Treasury Team</w:t>
            </w:r>
          </w:p>
        </w:tc>
        <w:tc>
          <w:tcPr>
            <w:tcW w:w="2075" w:type="dxa"/>
          </w:tcPr>
          <w:p w14:paraId="1A81417E" w14:textId="77777777" w:rsidR="00883A23" w:rsidRPr="00A43B48" w:rsidRDefault="00883A23" w:rsidP="002B7518">
            <w:pPr>
              <w:jc w:val="center"/>
              <w:rPr>
                <w:rFonts w:ascii="Arial" w:hAnsi="Arial" w:cs="Arial"/>
                <w:b/>
              </w:rPr>
            </w:pPr>
          </w:p>
          <w:p w14:paraId="6BBA3682" w14:textId="77777777" w:rsidR="00883A23" w:rsidRPr="00A43B48" w:rsidRDefault="00C74D95" w:rsidP="00C74D95">
            <w:pPr>
              <w:jc w:val="center"/>
              <w:rPr>
                <w:rFonts w:ascii="Arial" w:hAnsi="Arial" w:cs="Arial"/>
                <w:b/>
              </w:rPr>
            </w:pPr>
            <w:r>
              <w:rPr>
                <w:rFonts w:ascii="Arial" w:hAnsi="Arial" w:cs="Arial"/>
                <w:b/>
              </w:rPr>
              <w:t>12,648</w:t>
            </w:r>
            <w:r w:rsidR="00883A23" w:rsidRPr="00A43B48">
              <w:rPr>
                <w:rFonts w:ascii="Arial" w:hAnsi="Arial" w:cs="Arial"/>
                <w:b/>
              </w:rPr>
              <w:t xml:space="preserve"> (</w:t>
            </w:r>
            <w:r>
              <w:rPr>
                <w:rFonts w:ascii="Arial" w:hAnsi="Arial" w:cs="Arial"/>
                <w:b/>
              </w:rPr>
              <w:t>10,600</w:t>
            </w:r>
            <w:r w:rsidR="00883A23" w:rsidRPr="00A43B48">
              <w:rPr>
                <w:rFonts w:ascii="Arial" w:hAnsi="Arial" w:cs="Arial"/>
                <w:b/>
              </w:rPr>
              <w:t>)</w:t>
            </w:r>
          </w:p>
        </w:tc>
        <w:tc>
          <w:tcPr>
            <w:tcW w:w="1822" w:type="dxa"/>
          </w:tcPr>
          <w:p w14:paraId="61CA0F93" w14:textId="77777777" w:rsidR="00883A23" w:rsidRPr="00A43B48" w:rsidRDefault="00883A23" w:rsidP="002B7518">
            <w:pPr>
              <w:jc w:val="center"/>
              <w:rPr>
                <w:rFonts w:ascii="Arial" w:hAnsi="Arial" w:cs="Arial"/>
                <w:b/>
              </w:rPr>
            </w:pPr>
          </w:p>
          <w:p w14:paraId="1FC463AE" w14:textId="77777777" w:rsidR="00883A23" w:rsidRPr="00A43B48" w:rsidRDefault="00883A23" w:rsidP="00C74D95">
            <w:pPr>
              <w:jc w:val="center"/>
              <w:rPr>
                <w:rFonts w:ascii="Arial" w:hAnsi="Arial" w:cs="Arial"/>
                <w:b/>
              </w:rPr>
            </w:pPr>
            <w:r w:rsidRPr="00A43B48">
              <w:rPr>
                <w:rFonts w:ascii="Arial" w:hAnsi="Arial" w:cs="Arial"/>
                <w:b/>
              </w:rPr>
              <w:t>0.</w:t>
            </w:r>
            <w:r w:rsidR="00C74D95">
              <w:rPr>
                <w:rFonts w:ascii="Arial" w:hAnsi="Arial" w:cs="Arial"/>
                <w:b/>
              </w:rPr>
              <w:t>32</w:t>
            </w:r>
            <w:r w:rsidRPr="00A43B48">
              <w:rPr>
                <w:rFonts w:ascii="Arial" w:hAnsi="Arial" w:cs="Arial"/>
                <w:b/>
              </w:rPr>
              <w:t xml:space="preserve"> (0.</w:t>
            </w:r>
            <w:r w:rsidR="00C74D95">
              <w:rPr>
                <w:rFonts w:ascii="Arial" w:hAnsi="Arial" w:cs="Arial"/>
                <w:b/>
              </w:rPr>
              <w:t>28)</w:t>
            </w:r>
          </w:p>
        </w:tc>
      </w:tr>
    </w:tbl>
    <w:p w14:paraId="0617AD09" w14:textId="77777777" w:rsidR="00883A23" w:rsidRPr="00A43B48" w:rsidRDefault="00883A23" w:rsidP="00883A23">
      <w:pPr>
        <w:ind w:left="720"/>
        <w:rPr>
          <w:rFonts w:ascii="Arial" w:hAnsi="Arial" w:cs="Arial"/>
        </w:rPr>
      </w:pPr>
    </w:p>
    <w:p w14:paraId="00956C04" w14:textId="77777777" w:rsidR="005E5141" w:rsidRDefault="00883A23" w:rsidP="005E5141">
      <w:pPr>
        <w:ind w:left="1276" w:hanging="567"/>
        <w:rPr>
          <w:rFonts w:ascii="Arial" w:hAnsi="Arial" w:cs="Arial"/>
        </w:rPr>
      </w:pPr>
      <w:r w:rsidRPr="00A43B48">
        <w:rPr>
          <w:rFonts w:ascii="Arial" w:hAnsi="Arial" w:cs="Arial"/>
          <w:b/>
        </w:rPr>
        <w:t>Note</w:t>
      </w:r>
      <w:r w:rsidRPr="00A43B48">
        <w:rPr>
          <w:rFonts w:ascii="Arial" w:hAnsi="Arial" w:cs="Arial"/>
          <w:b/>
          <w:vertAlign w:val="superscript"/>
        </w:rPr>
        <w:t>1</w:t>
      </w:r>
    </w:p>
    <w:p w14:paraId="0F90B24D" w14:textId="7F5D9570" w:rsidR="0014612A" w:rsidRDefault="00883A23" w:rsidP="005E5141">
      <w:pPr>
        <w:ind w:left="1276" w:hanging="567"/>
        <w:rPr>
          <w:rFonts w:ascii="Arial" w:hAnsi="Arial" w:cs="Arial"/>
        </w:rPr>
      </w:pPr>
      <w:r w:rsidRPr="00A43B48">
        <w:rPr>
          <w:rFonts w:ascii="Arial" w:hAnsi="Arial" w:cs="Arial"/>
        </w:rPr>
        <w:t>The interest rates shown represent:</w:t>
      </w:r>
    </w:p>
    <w:p w14:paraId="32D66601" w14:textId="112FF35C" w:rsidR="0014612A" w:rsidRDefault="005E5141" w:rsidP="005E5141">
      <w:pPr>
        <w:pStyle w:val="ListParagraph"/>
        <w:numPr>
          <w:ilvl w:val="0"/>
          <w:numId w:val="27"/>
        </w:numPr>
        <w:ind w:left="1276" w:hanging="567"/>
        <w:rPr>
          <w:rFonts w:ascii="Arial" w:hAnsi="Arial" w:cs="Arial"/>
        </w:rPr>
      </w:pPr>
      <w:r>
        <w:rPr>
          <w:rFonts w:ascii="Arial" w:hAnsi="Arial" w:cs="Arial"/>
        </w:rPr>
        <w:t>T</w:t>
      </w:r>
      <w:r w:rsidR="00883A23" w:rsidRPr="0014612A">
        <w:rPr>
          <w:rFonts w:ascii="Arial" w:hAnsi="Arial" w:cs="Arial"/>
        </w:rPr>
        <w:t>he average cost of the debt portfolio, including the borrowing for 201</w:t>
      </w:r>
      <w:r w:rsidR="00C74D95" w:rsidRPr="0014612A">
        <w:rPr>
          <w:rFonts w:ascii="Arial" w:hAnsi="Arial" w:cs="Arial"/>
        </w:rPr>
        <w:t>3</w:t>
      </w:r>
      <w:r w:rsidR="00883A23" w:rsidRPr="0014612A">
        <w:rPr>
          <w:rFonts w:ascii="Arial" w:hAnsi="Arial" w:cs="Arial"/>
        </w:rPr>
        <w:t>/1</w:t>
      </w:r>
      <w:r w:rsidR="00C74D95" w:rsidRPr="0014612A">
        <w:rPr>
          <w:rFonts w:ascii="Arial" w:hAnsi="Arial" w:cs="Arial"/>
        </w:rPr>
        <w:t>4</w:t>
      </w:r>
      <w:r w:rsidR="00883A23" w:rsidRPr="0014612A">
        <w:rPr>
          <w:rFonts w:ascii="Arial" w:hAnsi="Arial" w:cs="Arial"/>
        </w:rPr>
        <w:t xml:space="preserve">; and </w:t>
      </w:r>
    </w:p>
    <w:p w14:paraId="36695121" w14:textId="6A78BD81" w:rsidR="00883A23" w:rsidRPr="0014612A" w:rsidRDefault="005E5141" w:rsidP="005E5141">
      <w:pPr>
        <w:pStyle w:val="ListParagraph"/>
        <w:numPr>
          <w:ilvl w:val="0"/>
          <w:numId w:val="27"/>
        </w:numPr>
        <w:ind w:left="1276" w:hanging="567"/>
        <w:rPr>
          <w:rFonts w:ascii="Arial" w:hAnsi="Arial" w:cs="Arial"/>
        </w:rPr>
      </w:pPr>
      <w:r>
        <w:rPr>
          <w:rFonts w:ascii="Arial" w:hAnsi="Arial" w:cs="Arial"/>
        </w:rPr>
        <w:t>T</w:t>
      </w:r>
      <w:r w:rsidR="00883A23" w:rsidRPr="0014612A">
        <w:rPr>
          <w:rFonts w:ascii="Arial" w:hAnsi="Arial" w:cs="Arial"/>
        </w:rPr>
        <w:t>he average return on cash investments during the year.</w:t>
      </w:r>
    </w:p>
    <w:p w14:paraId="6932EBFD" w14:textId="77777777" w:rsidR="005E5141" w:rsidRDefault="0071686E" w:rsidP="005E5141">
      <w:pPr>
        <w:ind w:hanging="567"/>
        <w:rPr>
          <w:rFonts w:ascii="Arial" w:hAnsi="Arial" w:cs="Arial"/>
        </w:rPr>
      </w:pPr>
      <w:r>
        <w:rPr>
          <w:rFonts w:ascii="Arial" w:hAnsi="Arial" w:cs="Arial"/>
        </w:rPr>
        <w:tab/>
      </w:r>
    </w:p>
    <w:p w14:paraId="3908DC80" w14:textId="6194339B" w:rsidR="00883A23" w:rsidRPr="00A43B48" w:rsidRDefault="00883A23" w:rsidP="005E5141">
      <w:pPr>
        <w:ind w:firstLine="709"/>
        <w:rPr>
          <w:rFonts w:ascii="Arial" w:hAnsi="Arial" w:cs="Arial"/>
          <w:b/>
        </w:rPr>
      </w:pPr>
      <w:r w:rsidRPr="00A43B48">
        <w:rPr>
          <w:rFonts w:ascii="Arial" w:hAnsi="Arial" w:cs="Arial"/>
          <w:b/>
        </w:rPr>
        <w:t>Borrowing</w:t>
      </w:r>
    </w:p>
    <w:p w14:paraId="23FFDD90" w14:textId="77777777" w:rsidR="00883A23" w:rsidRPr="00A43B48" w:rsidRDefault="00883A23" w:rsidP="00883A23">
      <w:pPr>
        <w:ind w:left="720"/>
        <w:rPr>
          <w:rFonts w:ascii="Arial" w:hAnsi="Arial" w:cs="Arial"/>
        </w:rPr>
      </w:pPr>
    </w:p>
    <w:p w14:paraId="29E3A698" w14:textId="77777777" w:rsidR="00883A23" w:rsidRDefault="00883A23" w:rsidP="00883A23">
      <w:pPr>
        <w:ind w:left="720"/>
        <w:rPr>
          <w:rFonts w:ascii="Arial" w:hAnsi="Arial" w:cs="Arial"/>
        </w:rPr>
      </w:pPr>
      <w:r w:rsidRPr="00A43B48">
        <w:rPr>
          <w:rFonts w:ascii="Arial" w:hAnsi="Arial" w:cs="Arial"/>
        </w:rPr>
        <w:t xml:space="preserve">The Fire Authority’s approach to borrowing had continued to be the use of cash balances to finance new capital expenditure, so as to run down cash balances and minimise counterparty risk incurred on investments.  </w:t>
      </w:r>
    </w:p>
    <w:p w14:paraId="1D7AE16C" w14:textId="77777777" w:rsidR="00C74D95" w:rsidRPr="00A43B48" w:rsidRDefault="00C74D95" w:rsidP="00883A23">
      <w:pPr>
        <w:ind w:left="720"/>
        <w:rPr>
          <w:rFonts w:ascii="Arial" w:hAnsi="Arial" w:cs="Arial"/>
          <w:sz w:val="22"/>
          <w:szCs w:val="22"/>
        </w:rPr>
      </w:pPr>
    </w:p>
    <w:p w14:paraId="0E26BBA9" w14:textId="53C18DF3" w:rsidR="00883A23" w:rsidRPr="00A43B48" w:rsidRDefault="00C74D95" w:rsidP="00883A23">
      <w:pPr>
        <w:ind w:left="720"/>
        <w:rPr>
          <w:rFonts w:ascii="Arial" w:hAnsi="Arial" w:cs="Arial"/>
        </w:rPr>
      </w:pPr>
      <w:r>
        <w:rPr>
          <w:rFonts w:ascii="Arial" w:hAnsi="Arial" w:cs="Arial"/>
        </w:rPr>
        <w:lastRenderedPageBreak/>
        <w:t>As a result</w:t>
      </w:r>
      <w:r w:rsidR="00883A23" w:rsidRPr="00A43B48">
        <w:rPr>
          <w:rFonts w:ascii="Arial" w:hAnsi="Arial" w:cs="Arial"/>
        </w:rPr>
        <w:t>, no new borrowing</w:t>
      </w:r>
      <w:r w:rsidR="005E5141">
        <w:rPr>
          <w:rFonts w:ascii="Arial" w:hAnsi="Arial" w:cs="Arial"/>
        </w:rPr>
        <w:t xml:space="preserve"> was</w:t>
      </w:r>
      <w:r w:rsidR="00883A23" w:rsidRPr="00A43B48">
        <w:rPr>
          <w:rFonts w:ascii="Arial" w:hAnsi="Arial" w:cs="Arial"/>
        </w:rPr>
        <w:t xml:space="preserve"> entered into during 201</w:t>
      </w:r>
      <w:r>
        <w:rPr>
          <w:rFonts w:ascii="Arial" w:hAnsi="Arial" w:cs="Arial"/>
        </w:rPr>
        <w:t>3</w:t>
      </w:r>
      <w:r w:rsidR="00883A23" w:rsidRPr="00A43B48">
        <w:rPr>
          <w:rFonts w:ascii="Arial" w:hAnsi="Arial" w:cs="Arial"/>
        </w:rPr>
        <w:t>/1</w:t>
      </w:r>
      <w:r>
        <w:rPr>
          <w:rFonts w:ascii="Arial" w:hAnsi="Arial" w:cs="Arial"/>
        </w:rPr>
        <w:t>4</w:t>
      </w:r>
      <w:r w:rsidR="00883A23" w:rsidRPr="00A43B48">
        <w:rPr>
          <w:rFonts w:ascii="Arial" w:hAnsi="Arial" w:cs="Arial"/>
        </w:rPr>
        <w:t>, and the average borrowing rate for the total portfolio remained at 4.49%.</w:t>
      </w:r>
    </w:p>
    <w:p w14:paraId="7EFA0A8C" w14:textId="77777777" w:rsidR="00883A23" w:rsidRPr="00A43B48" w:rsidRDefault="00883A23" w:rsidP="00883A23">
      <w:pPr>
        <w:ind w:left="720"/>
        <w:rPr>
          <w:rFonts w:ascii="Arial" w:hAnsi="Arial" w:cs="Arial"/>
          <w:sz w:val="22"/>
          <w:szCs w:val="22"/>
        </w:rPr>
      </w:pPr>
    </w:p>
    <w:p w14:paraId="597399FD" w14:textId="436F7732" w:rsidR="00883A23" w:rsidRPr="00A43B48" w:rsidRDefault="00883A23" w:rsidP="00883A23">
      <w:pPr>
        <w:ind w:left="720"/>
        <w:rPr>
          <w:rFonts w:ascii="Arial" w:hAnsi="Arial" w:cs="Arial"/>
        </w:rPr>
      </w:pPr>
      <w:r w:rsidRPr="00A43B48">
        <w:rPr>
          <w:rFonts w:ascii="Arial" w:hAnsi="Arial" w:cs="Arial"/>
        </w:rPr>
        <w:t>The Authority’s Treasury Strategy allows up to 30% of the total outstanding debt to mature in periods up to 10 years.  It is prudent to have the Authority’s debt maturing over many years so as to minimise the risk of having to re-finance</w:t>
      </w:r>
      <w:r w:rsidR="005E5141">
        <w:rPr>
          <w:rFonts w:ascii="Arial" w:hAnsi="Arial" w:cs="Arial"/>
        </w:rPr>
        <w:t>,</w:t>
      </w:r>
      <w:r w:rsidRPr="00A43B48">
        <w:rPr>
          <w:rFonts w:ascii="Arial" w:hAnsi="Arial" w:cs="Arial"/>
        </w:rPr>
        <w:t xml:space="preserve"> when interest rates may be high.  Current debt maturity levels are within this guideline.</w:t>
      </w:r>
    </w:p>
    <w:p w14:paraId="42E765F0" w14:textId="77777777" w:rsidR="00883A23" w:rsidRPr="00A43B48" w:rsidRDefault="00883A23" w:rsidP="00883A23">
      <w:pPr>
        <w:rPr>
          <w:rFonts w:ascii="Arial" w:hAnsi="Arial" w:cs="Arial"/>
          <w:b/>
        </w:rPr>
      </w:pPr>
    </w:p>
    <w:p w14:paraId="423E78A9" w14:textId="77777777" w:rsidR="00883A23" w:rsidRPr="00A43B48" w:rsidRDefault="00883A23" w:rsidP="00883A23">
      <w:pPr>
        <w:ind w:left="720"/>
        <w:rPr>
          <w:rFonts w:ascii="Arial" w:hAnsi="Arial" w:cs="Arial"/>
          <w:b/>
        </w:rPr>
      </w:pPr>
      <w:r w:rsidRPr="00A43B48">
        <w:rPr>
          <w:rFonts w:ascii="Arial" w:hAnsi="Arial" w:cs="Arial"/>
          <w:b/>
        </w:rPr>
        <w:t>Investment Rates in 201</w:t>
      </w:r>
      <w:r w:rsidR="00C74D95">
        <w:rPr>
          <w:rFonts w:ascii="Arial" w:hAnsi="Arial" w:cs="Arial"/>
          <w:b/>
        </w:rPr>
        <w:t>3</w:t>
      </w:r>
      <w:r w:rsidRPr="00A43B48">
        <w:rPr>
          <w:rFonts w:ascii="Arial" w:hAnsi="Arial" w:cs="Arial"/>
          <w:b/>
        </w:rPr>
        <w:t>/1</w:t>
      </w:r>
      <w:r w:rsidR="00C74D95">
        <w:rPr>
          <w:rFonts w:ascii="Arial" w:hAnsi="Arial" w:cs="Arial"/>
          <w:b/>
        </w:rPr>
        <w:t>4</w:t>
      </w:r>
    </w:p>
    <w:p w14:paraId="5619CFA4" w14:textId="77777777" w:rsidR="002304D6" w:rsidRDefault="002304D6" w:rsidP="00883A23">
      <w:pPr>
        <w:ind w:left="720"/>
        <w:rPr>
          <w:rFonts w:ascii="Arial" w:hAnsi="Arial" w:cs="Arial"/>
        </w:rPr>
      </w:pPr>
    </w:p>
    <w:p w14:paraId="71A7C861" w14:textId="0027B1C3" w:rsidR="00883A23" w:rsidRPr="00A43B48" w:rsidRDefault="005E5141" w:rsidP="00883A23">
      <w:pPr>
        <w:ind w:left="720"/>
        <w:rPr>
          <w:rFonts w:ascii="Arial" w:hAnsi="Arial" w:cs="Arial"/>
          <w:b/>
        </w:rPr>
      </w:pPr>
      <w:r>
        <w:rPr>
          <w:rFonts w:ascii="Arial" w:hAnsi="Arial" w:cs="Arial"/>
        </w:rPr>
        <w:t>The 7-</w:t>
      </w:r>
      <w:r w:rsidR="00883A23" w:rsidRPr="00A43B48">
        <w:rPr>
          <w:rFonts w:ascii="Arial" w:hAnsi="Arial" w:cs="Arial"/>
        </w:rPr>
        <w:t>day rate, with which to compare the investment return achieved for the Fire Authority by Treasury Services, was 0.2</w:t>
      </w:r>
      <w:r w:rsidR="00C74D95">
        <w:rPr>
          <w:rFonts w:ascii="Arial" w:hAnsi="Arial" w:cs="Arial"/>
        </w:rPr>
        <w:t>9</w:t>
      </w:r>
      <w:r w:rsidR="00883A23" w:rsidRPr="00A43B48">
        <w:rPr>
          <w:rFonts w:ascii="Arial" w:hAnsi="Arial" w:cs="Arial"/>
        </w:rPr>
        <w:t>% for 201</w:t>
      </w:r>
      <w:r w:rsidR="00C74D95">
        <w:rPr>
          <w:rFonts w:ascii="Arial" w:hAnsi="Arial" w:cs="Arial"/>
        </w:rPr>
        <w:t>3</w:t>
      </w:r>
      <w:r w:rsidR="00883A23" w:rsidRPr="00A43B48">
        <w:rPr>
          <w:rFonts w:ascii="Arial" w:hAnsi="Arial" w:cs="Arial"/>
        </w:rPr>
        <w:t>/1</w:t>
      </w:r>
      <w:r w:rsidR="00C74D95">
        <w:rPr>
          <w:rFonts w:ascii="Arial" w:hAnsi="Arial" w:cs="Arial"/>
        </w:rPr>
        <w:t>4</w:t>
      </w:r>
      <w:r w:rsidR="00883A23" w:rsidRPr="00A43B48">
        <w:rPr>
          <w:rFonts w:ascii="Arial" w:hAnsi="Arial" w:cs="Arial"/>
        </w:rPr>
        <w:t>.</w:t>
      </w:r>
    </w:p>
    <w:p w14:paraId="4CBF1B09" w14:textId="77777777" w:rsidR="00883A23" w:rsidRPr="006D45C8" w:rsidRDefault="00883A23" w:rsidP="00883A23">
      <w:pPr>
        <w:widowControl w:val="0"/>
        <w:rPr>
          <w:rFonts w:ascii="Arial" w:hAnsi="Arial" w:cs="Arial"/>
          <w:snapToGrid w:val="0"/>
          <w:lang w:eastAsia="en-US"/>
        </w:rPr>
      </w:pPr>
    </w:p>
    <w:p w14:paraId="5A7D1464" w14:textId="77777777" w:rsidR="00883A23" w:rsidRPr="00A43B48" w:rsidRDefault="00883A23" w:rsidP="00883A23">
      <w:pPr>
        <w:ind w:left="360" w:firstLine="349"/>
        <w:outlineLvl w:val="0"/>
        <w:rPr>
          <w:rFonts w:ascii="Arial" w:hAnsi="Arial" w:cs="Arial"/>
          <w:b/>
          <w:bCs/>
        </w:rPr>
      </w:pPr>
      <w:r w:rsidRPr="00A43B48">
        <w:rPr>
          <w:rFonts w:ascii="Arial" w:hAnsi="Arial" w:cs="Arial"/>
          <w:b/>
          <w:bCs/>
        </w:rPr>
        <w:t>201</w:t>
      </w:r>
      <w:r w:rsidR="00C74D95">
        <w:rPr>
          <w:rFonts w:ascii="Arial" w:hAnsi="Arial" w:cs="Arial"/>
          <w:b/>
          <w:bCs/>
        </w:rPr>
        <w:t>3</w:t>
      </w:r>
      <w:r w:rsidRPr="00A43B48">
        <w:rPr>
          <w:rFonts w:ascii="Arial" w:hAnsi="Arial" w:cs="Arial"/>
          <w:b/>
          <w:bCs/>
        </w:rPr>
        <w:t>/1</w:t>
      </w:r>
      <w:r w:rsidR="00C74D95">
        <w:rPr>
          <w:rFonts w:ascii="Arial" w:hAnsi="Arial" w:cs="Arial"/>
          <w:b/>
          <w:bCs/>
        </w:rPr>
        <w:t>4</w:t>
      </w:r>
      <w:r w:rsidRPr="00A43B48">
        <w:rPr>
          <w:rFonts w:ascii="Arial" w:hAnsi="Arial" w:cs="Arial"/>
          <w:b/>
          <w:bCs/>
        </w:rPr>
        <w:t xml:space="preserve"> Actual Prudential Indicators</w:t>
      </w:r>
    </w:p>
    <w:p w14:paraId="0B841E4B" w14:textId="77777777" w:rsidR="00883A23" w:rsidRPr="00A43B48" w:rsidRDefault="00883A23" w:rsidP="00883A23">
      <w:pPr>
        <w:rPr>
          <w:rFonts w:ascii="Arial" w:hAnsi="Arial" w:cs="Arial"/>
        </w:rPr>
      </w:pPr>
    </w:p>
    <w:p w14:paraId="668ACE2E" w14:textId="7B624A4D" w:rsidR="00883A23" w:rsidRPr="00A43B48" w:rsidRDefault="00883A23" w:rsidP="00883A23">
      <w:pPr>
        <w:autoSpaceDE w:val="0"/>
        <w:autoSpaceDN w:val="0"/>
        <w:adjustRightInd w:val="0"/>
        <w:ind w:left="709"/>
        <w:rPr>
          <w:rFonts w:ascii="Arial" w:hAnsi="Arial" w:cs="Arial"/>
          <w:szCs w:val="23"/>
          <w:lang w:eastAsia="en-US"/>
        </w:rPr>
      </w:pPr>
      <w:r w:rsidRPr="00A43B48">
        <w:rPr>
          <w:rFonts w:ascii="Arial" w:hAnsi="Arial" w:cs="Arial"/>
          <w:szCs w:val="23"/>
          <w:lang w:eastAsia="en-US"/>
        </w:rPr>
        <w:t>In line with the CIPFA Prudential Code for Capital Finance, the Treasurer is required to establish procedures to monitor performance against all forward</w:t>
      </w:r>
      <w:r w:rsidR="00DB2231">
        <w:rPr>
          <w:rFonts w:ascii="Arial" w:hAnsi="Arial" w:cs="Arial"/>
          <w:szCs w:val="23"/>
          <w:lang w:eastAsia="en-US"/>
        </w:rPr>
        <w:t>-</w:t>
      </w:r>
      <w:r w:rsidRPr="00A43B48">
        <w:rPr>
          <w:rFonts w:ascii="Arial" w:hAnsi="Arial" w:cs="Arial"/>
          <w:szCs w:val="23"/>
          <w:lang w:eastAsia="en-US"/>
        </w:rPr>
        <w:t>looking prudential indicators and, in particular, that net external borrowing does not (except in the short term) exceed the requirement to borrow for capital purposes.</w:t>
      </w:r>
    </w:p>
    <w:p w14:paraId="7614979E" w14:textId="77777777" w:rsidR="00883A23" w:rsidRPr="00A43B48" w:rsidRDefault="00883A23" w:rsidP="00883A23">
      <w:pPr>
        <w:autoSpaceDE w:val="0"/>
        <w:autoSpaceDN w:val="0"/>
        <w:adjustRightInd w:val="0"/>
        <w:ind w:firstLine="720"/>
        <w:rPr>
          <w:rFonts w:ascii="Arial" w:hAnsi="Arial" w:cs="Arial"/>
          <w:szCs w:val="23"/>
          <w:lang w:eastAsia="en-US"/>
        </w:rPr>
      </w:pPr>
    </w:p>
    <w:p w14:paraId="7D233E2B" w14:textId="427CB841" w:rsidR="00883A23" w:rsidRPr="00A43B48" w:rsidRDefault="00883A23" w:rsidP="002304D6">
      <w:pPr>
        <w:autoSpaceDE w:val="0"/>
        <w:autoSpaceDN w:val="0"/>
        <w:adjustRightInd w:val="0"/>
        <w:ind w:left="709" w:firstLine="11"/>
        <w:rPr>
          <w:rFonts w:ascii="Arial" w:hAnsi="Arial" w:cs="Arial"/>
          <w:szCs w:val="23"/>
          <w:lang w:eastAsia="en-US"/>
        </w:rPr>
      </w:pPr>
      <w:r w:rsidRPr="00A43B48">
        <w:rPr>
          <w:rFonts w:ascii="Arial" w:hAnsi="Arial" w:cs="Arial"/>
          <w:szCs w:val="23"/>
          <w:lang w:eastAsia="en-US"/>
        </w:rPr>
        <w:t>The legislation requires that actual indicators are produced at the year end</w:t>
      </w:r>
      <w:r w:rsidR="002304D6">
        <w:rPr>
          <w:rFonts w:ascii="Arial" w:hAnsi="Arial" w:cs="Arial"/>
          <w:szCs w:val="23"/>
          <w:lang w:eastAsia="en-US"/>
        </w:rPr>
        <w:t xml:space="preserve"> </w:t>
      </w:r>
      <w:r w:rsidRPr="00A43B48">
        <w:rPr>
          <w:rFonts w:ascii="Arial" w:hAnsi="Arial" w:cs="Arial"/>
          <w:szCs w:val="23"/>
          <w:lang w:eastAsia="en-US"/>
        </w:rPr>
        <w:t>and those for 201</w:t>
      </w:r>
      <w:r w:rsidR="00C74D95">
        <w:rPr>
          <w:rFonts w:ascii="Arial" w:hAnsi="Arial" w:cs="Arial"/>
          <w:szCs w:val="23"/>
          <w:lang w:eastAsia="en-US"/>
        </w:rPr>
        <w:t>3</w:t>
      </w:r>
      <w:r w:rsidRPr="00A43B48">
        <w:rPr>
          <w:rFonts w:ascii="Arial" w:hAnsi="Arial" w:cs="Arial"/>
          <w:szCs w:val="23"/>
          <w:lang w:eastAsia="en-US"/>
        </w:rPr>
        <w:t>/1</w:t>
      </w:r>
      <w:r w:rsidR="00C74D95">
        <w:rPr>
          <w:rFonts w:ascii="Arial" w:hAnsi="Arial" w:cs="Arial"/>
          <w:szCs w:val="23"/>
          <w:lang w:eastAsia="en-US"/>
        </w:rPr>
        <w:t>4</w:t>
      </w:r>
      <w:r w:rsidRPr="00A43B48">
        <w:rPr>
          <w:rFonts w:ascii="Arial" w:hAnsi="Arial" w:cs="Arial"/>
          <w:szCs w:val="23"/>
          <w:lang w:eastAsia="en-US"/>
        </w:rPr>
        <w:t xml:space="preserve"> are, therefore, set out below.</w:t>
      </w:r>
    </w:p>
    <w:p w14:paraId="4C15028A" w14:textId="77777777" w:rsidR="00883A23" w:rsidRPr="00A43B48" w:rsidRDefault="00883A23" w:rsidP="00883A23">
      <w:pPr>
        <w:ind w:left="720"/>
        <w:rPr>
          <w:rFonts w:ascii="Arial" w:hAnsi="Arial" w:cs="Arial"/>
          <w:szCs w:val="23"/>
          <w:lang w:eastAsia="en-US"/>
        </w:rPr>
      </w:pPr>
    </w:p>
    <w:p w14:paraId="5D0F38FB" w14:textId="0DDB3D97" w:rsidR="00883A23" w:rsidRPr="00A43B48" w:rsidRDefault="00883A23" w:rsidP="00883A23">
      <w:pPr>
        <w:rPr>
          <w:rFonts w:ascii="Arial" w:hAnsi="Arial" w:cs="Arial"/>
          <w:szCs w:val="23"/>
          <w:lang w:eastAsia="en-US"/>
        </w:rPr>
      </w:pPr>
    </w:p>
    <w:tbl>
      <w:tblPr>
        <w:tblStyle w:val="TableGrid"/>
        <w:tblW w:w="8489" w:type="dxa"/>
        <w:tblInd w:w="720" w:type="dxa"/>
        <w:tblLook w:val="04A0" w:firstRow="1" w:lastRow="0" w:firstColumn="1" w:lastColumn="0" w:noHBand="0" w:noVBand="1"/>
      </w:tblPr>
      <w:tblGrid>
        <w:gridCol w:w="4945"/>
        <w:gridCol w:w="1134"/>
        <w:gridCol w:w="1134"/>
        <w:gridCol w:w="1276"/>
      </w:tblGrid>
      <w:tr w:rsidR="00883A23" w:rsidRPr="00A43B48" w14:paraId="2DC0E902" w14:textId="77777777" w:rsidTr="002B7518">
        <w:tc>
          <w:tcPr>
            <w:tcW w:w="4945" w:type="dxa"/>
          </w:tcPr>
          <w:p w14:paraId="2C09CEA6" w14:textId="77777777" w:rsidR="00883A23" w:rsidRPr="00A43B48" w:rsidRDefault="00883A23" w:rsidP="002B7518">
            <w:pPr>
              <w:rPr>
                <w:rFonts w:ascii="Arial" w:hAnsi="Arial" w:cs="Arial"/>
                <w:lang w:eastAsia="en-US"/>
              </w:rPr>
            </w:pPr>
          </w:p>
        </w:tc>
        <w:tc>
          <w:tcPr>
            <w:tcW w:w="1134" w:type="dxa"/>
          </w:tcPr>
          <w:p w14:paraId="0F498B80" w14:textId="77777777" w:rsidR="00883A23" w:rsidRPr="00A43B48" w:rsidRDefault="00883A23" w:rsidP="002B7518">
            <w:pPr>
              <w:jc w:val="right"/>
              <w:rPr>
                <w:rFonts w:ascii="Arial" w:hAnsi="Arial" w:cs="Arial"/>
                <w:b/>
                <w:lang w:eastAsia="en-US"/>
              </w:rPr>
            </w:pPr>
            <w:r w:rsidRPr="00A43B48">
              <w:rPr>
                <w:rFonts w:ascii="Arial" w:hAnsi="Arial" w:cs="Arial"/>
                <w:b/>
                <w:lang w:eastAsia="en-US"/>
              </w:rPr>
              <w:t>201</w:t>
            </w:r>
            <w:r w:rsidR="00C74D95">
              <w:rPr>
                <w:rFonts w:ascii="Arial" w:hAnsi="Arial" w:cs="Arial"/>
                <w:b/>
                <w:lang w:eastAsia="en-US"/>
              </w:rPr>
              <w:t>2</w:t>
            </w:r>
            <w:r w:rsidRPr="00A43B48">
              <w:rPr>
                <w:rFonts w:ascii="Arial" w:hAnsi="Arial" w:cs="Arial"/>
                <w:b/>
                <w:lang w:eastAsia="en-US"/>
              </w:rPr>
              <w:t>/1</w:t>
            </w:r>
            <w:r w:rsidR="00C74D95">
              <w:rPr>
                <w:rFonts w:ascii="Arial" w:hAnsi="Arial" w:cs="Arial"/>
                <w:b/>
                <w:lang w:eastAsia="en-US"/>
              </w:rPr>
              <w:t>3</w:t>
            </w:r>
          </w:p>
          <w:p w14:paraId="13797522" w14:textId="77777777" w:rsidR="00883A23" w:rsidRPr="00A43B48" w:rsidRDefault="00883A23" w:rsidP="002B7518">
            <w:pPr>
              <w:jc w:val="right"/>
              <w:rPr>
                <w:rFonts w:ascii="Arial" w:hAnsi="Arial" w:cs="Arial"/>
                <w:b/>
                <w:lang w:eastAsia="en-US"/>
              </w:rPr>
            </w:pPr>
            <w:r w:rsidRPr="00A43B48">
              <w:rPr>
                <w:rFonts w:ascii="Arial" w:hAnsi="Arial" w:cs="Arial"/>
                <w:b/>
                <w:lang w:eastAsia="en-US"/>
              </w:rPr>
              <w:t xml:space="preserve">Actual </w:t>
            </w:r>
          </w:p>
          <w:p w14:paraId="358F65B4" w14:textId="77777777" w:rsidR="00883A23" w:rsidRPr="00A43B48" w:rsidRDefault="00883A23" w:rsidP="002B7518">
            <w:pPr>
              <w:jc w:val="right"/>
              <w:rPr>
                <w:rFonts w:ascii="Arial" w:hAnsi="Arial" w:cs="Arial"/>
                <w:b/>
                <w:lang w:eastAsia="en-US"/>
              </w:rPr>
            </w:pPr>
            <w:r w:rsidRPr="00A43B48">
              <w:rPr>
                <w:rFonts w:ascii="Arial" w:hAnsi="Arial" w:cs="Arial"/>
                <w:b/>
                <w:lang w:eastAsia="en-US"/>
              </w:rPr>
              <w:t>£000</w:t>
            </w:r>
          </w:p>
        </w:tc>
        <w:tc>
          <w:tcPr>
            <w:tcW w:w="1134" w:type="dxa"/>
          </w:tcPr>
          <w:p w14:paraId="593D87C0" w14:textId="77777777" w:rsidR="00883A23" w:rsidRPr="00A43B48" w:rsidRDefault="00883A23" w:rsidP="002B7518">
            <w:pPr>
              <w:jc w:val="right"/>
              <w:rPr>
                <w:rFonts w:ascii="Arial" w:hAnsi="Arial" w:cs="Arial"/>
                <w:b/>
                <w:lang w:eastAsia="en-US"/>
              </w:rPr>
            </w:pPr>
            <w:r w:rsidRPr="00A43B48">
              <w:rPr>
                <w:rFonts w:ascii="Arial" w:hAnsi="Arial" w:cs="Arial"/>
                <w:b/>
                <w:lang w:eastAsia="en-US"/>
              </w:rPr>
              <w:t>201</w:t>
            </w:r>
            <w:r w:rsidR="00C74D95">
              <w:rPr>
                <w:rFonts w:ascii="Arial" w:hAnsi="Arial" w:cs="Arial"/>
                <w:b/>
                <w:lang w:eastAsia="en-US"/>
              </w:rPr>
              <w:t>3</w:t>
            </w:r>
            <w:r w:rsidRPr="00A43B48">
              <w:rPr>
                <w:rFonts w:ascii="Arial" w:hAnsi="Arial" w:cs="Arial"/>
                <w:b/>
                <w:lang w:eastAsia="en-US"/>
              </w:rPr>
              <w:t>/1</w:t>
            </w:r>
            <w:r w:rsidR="00C74D95">
              <w:rPr>
                <w:rFonts w:ascii="Arial" w:hAnsi="Arial" w:cs="Arial"/>
                <w:b/>
                <w:lang w:eastAsia="en-US"/>
              </w:rPr>
              <w:t>4</w:t>
            </w:r>
          </w:p>
          <w:p w14:paraId="288DB707" w14:textId="77777777" w:rsidR="00883A23" w:rsidRPr="00A43B48" w:rsidRDefault="00883A23" w:rsidP="002B7518">
            <w:pPr>
              <w:jc w:val="right"/>
              <w:rPr>
                <w:rFonts w:ascii="Arial" w:hAnsi="Arial" w:cs="Arial"/>
                <w:b/>
                <w:lang w:eastAsia="en-US"/>
              </w:rPr>
            </w:pPr>
            <w:r w:rsidRPr="00A43B48">
              <w:rPr>
                <w:rFonts w:ascii="Arial" w:hAnsi="Arial" w:cs="Arial"/>
                <w:b/>
                <w:lang w:eastAsia="en-US"/>
              </w:rPr>
              <w:t>Budget</w:t>
            </w:r>
          </w:p>
          <w:p w14:paraId="5FB35F0F" w14:textId="77777777" w:rsidR="00883A23" w:rsidRPr="00A43B48" w:rsidRDefault="00883A23" w:rsidP="002B7518">
            <w:pPr>
              <w:jc w:val="right"/>
              <w:rPr>
                <w:rFonts w:ascii="Arial" w:hAnsi="Arial" w:cs="Arial"/>
                <w:b/>
                <w:lang w:eastAsia="en-US"/>
              </w:rPr>
            </w:pPr>
            <w:r w:rsidRPr="00A43B48">
              <w:rPr>
                <w:rFonts w:ascii="Arial" w:hAnsi="Arial" w:cs="Arial"/>
                <w:b/>
                <w:lang w:eastAsia="en-US"/>
              </w:rPr>
              <w:t>£000</w:t>
            </w:r>
          </w:p>
        </w:tc>
        <w:tc>
          <w:tcPr>
            <w:tcW w:w="1276" w:type="dxa"/>
          </w:tcPr>
          <w:p w14:paraId="7F52A247" w14:textId="77777777" w:rsidR="00883A23" w:rsidRPr="00A43B48" w:rsidRDefault="00883A23" w:rsidP="002B7518">
            <w:pPr>
              <w:jc w:val="right"/>
              <w:rPr>
                <w:rFonts w:ascii="Arial" w:hAnsi="Arial" w:cs="Arial"/>
                <w:b/>
                <w:lang w:eastAsia="en-US"/>
              </w:rPr>
            </w:pPr>
            <w:r w:rsidRPr="00A43B48">
              <w:rPr>
                <w:rFonts w:ascii="Arial" w:hAnsi="Arial" w:cs="Arial"/>
                <w:b/>
                <w:lang w:eastAsia="en-US"/>
              </w:rPr>
              <w:t>201</w:t>
            </w:r>
            <w:r w:rsidR="00C74D95">
              <w:rPr>
                <w:rFonts w:ascii="Arial" w:hAnsi="Arial" w:cs="Arial"/>
                <w:b/>
                <w:lang w:eastAsia="en-US"/>
              </w:rPr>
              <w:t>3</w:t>
            </w:r>
            <w:r w:rsidRPr="00A43B48">
              <w:rPr>
                <w:rFonts w:ascii="Arial" w:hAnsi="Arial" w:cs="Arial"/>
                <w:b/>
                <w:lang w:eastAsia="en-US"/>
              </w:rPr>
              <w:t>/1</w:t>
            </w:r>
            <w:r w:rsidR="00C74D95">
              <w:rPr>
                <w:rFonts w:ascii="Arial" w:hAnsi="Arial" w:cs="Arial"/>
                <w:b/>
                <w:lang w:eastAsia="en-US"/>
              </w:rPr>
              <w:t>4</w:t>
            </w:r>
          </w:p>
          <w:p w14:paraId="20288A36" w14:textId="77777777" w:rsidR="00883A23" w:rsidRPr="00A43B48" w:rsidRDefault="00883A23" w:rsidP="002B7518">
            <w:pPr>
              <w:jc w:val="right"/>
              <w:rPr>
                <w:rFonts w:ascii="Arial" w:hAnsi="Arial" w:cs="Arial"/>
                <w:b/>
                <w:lang w:eastAsia="en-US"/>
              </w:rPr>
            </w:pPr>
            <w:r w:rsidRPr="00A43B48">
              <w:rPr>
                <w:rFonts w:ascii="Arial" w:hAnsi="Arial" w:cs="Arial"/>
                <w:b/>
                <w:lang w:eastAsia="en-US"/>
              </w:rPr>
              <w:t>Actual</w:t>
            </w:r>
          </w:p>
          <w:p w14:paraId="4E4AFC61" w14:textId="77777777" w:rsidR="00883A23" w:rsidRPr="00A43B48" w:rsidRDefault="00883A23" w:rsidP="002B7518">
            <w:pPr>
              <w:jc w:val="right"/>
              <w:rPr>
                <w:rFonts w:ascii="Arial" w:hAnsi="Arial" w:cs="Arial"/>
                <w:b/>
                <w:lang w:eastAsia="en-US"/>
              </w:rPr>
            </w:pPr>
            <w:r w:rsidRPr="00A43B48">
              <w:rPr>
                <w:rFonts w:ascii="Arial" w:hAnsi="Arial" w:cs="Arial"/>
                <w:b/>
                <w:lang w:eastAsia="en-US"/>
              </w:rPr>
              <w:t>£000</w:t>
            </w:r>
          </w:p>
        </w:tc>
      </w:tr>
      <w:tr w:rsidR="00C74D95" w:rsidRPr="00A43B48" w14:paraId="277D0D49" w14:textId="77777777" w:rsidTr="002B7518">
        <w:tc>
          <w:tcPr>
            <w:tcW w:w="4945" w:type="dxa"/>
          </w:tcPr>
          <w:p w14:paraId="5CB7CE69" w14:textId="77777777" w:rsidR="00C74D95" w:rsidRPr="00A43B48" w:rsidRDefault="00C74D95" w:rsidP="00C74D95">
            <w:pPr>
              <w:rPr>
                <w:rFonts w:ascii="Arial" w:hAnsi="Arial" w:cs="Arial"/>
                <w:b/>
                <w:lang w:eastAsia="en-US"/>
              </w:rPr>
            </w:pPr>
            <w:r w:rsidRPr="00A43B48">
              <w:rPr>
                <w:rFonts w:ascii="Arial" w:hAnsi="Arial" w:cs="Arial"/>
                <w:b/>
                <w:lang w:eastAsia="en-US"/>
              </w:rPr>
              <w:t>Capital Expenditure</w:t>
            </w:r>
          </w:p>
          <w:p w14:paraId="12768670" w14:textId="77777777" w:rsidR="00C74D95" w:rsidRPr="00A43B48" w:rsidRDefault="00C74D95" w:rsidP="00C74D95">
            <w:pPr>
              <w:rPr>
                <w:rFonts w:ascii="Arial" w:hAnsi="Arial" w:cs="Arial"/>
                <w:b/>
                <w:lang w:eastAsia="en-US"/>
              </w:rPr>
            </w:pPr>
            <w:r w:rsidRPr="00A43B48">
              <w:rPr>
                <w:rFonts w:ascii="Arial" w:hAnsi="Arial" w:cs="Arial"/>
                <w:b/>
                <w:lang w:eastAsia="en-US"/>
              </w:rPr>
              <w:t>Payments</w:t>
            </w:r>
          </w:p>
          <w:p w14:paraId="68102691" w14:textId="77777777" w:rsidR="00C74D95" w:rsidRPr="00A43B48" w:rsidRDefault="00C74D95" w:rsidP="00C74D95">
            <w:pPr>
              <w:rPr>
                <w:rFonts w:ascii="Arial" w:hAnsi="Arial" w:cs="Arial"/>
                <w:b/>
                <w:lang w:eastAsia="en-US"/>
              </w:rPr>
            </w:pPr>
            <w:r w:rsidRPr="00A43B48">
              <w:rPr>
                <w:rFonts w:ascii="Arial" w:hAnsi="Arial" w:cs="Arial"/>
                <w:b/>
                <w:lang w:eastAsia="en-US"/>
              </w:rPr>
              <w:t>Funding:</w:t>
            </w:r>
          </w:p>
          <w:p w14:paraId="4EA46523" w14:textId="77777777" w:rsidR="00C74D95" w:rsidRPr="00A43B48" w:rsidRDefault="00C74D95" w:rsidP="00C74D95">
            <w:pPr>
              <w:rPr>
                <w:rFonts w:ascii="Arial" w:hAnsi="Arial" w:cs="Arial"/>
                <w:lang w:eastAsia="en-US"/>
              </w:rPr>
            </w:pPr>
            <w:r w:rsidRPr="00A43B48">
              <w:rPr>
                <w:rFonts w:ascii="Arial" w:hAnsi="Arial" w:cs="Arial"/>
                <w:lang w:eastAsia="en-US"/>
              </w:rPr>
              <w:t>Borrowing</w:t>
            </w:r>
          </w:p>
          <w:p w14:paraId="13C8CF1A" w14:textId="77777777" w:rsidR="00C74D95" w:rsidRPr="00A43B48" w:rsidRDefault="00C74D95" w:rsidP="00C74D95">
            <w:pPr>
              <w:rPr>
                <w:rFonts w:ascii="Arial" w:hAnsi="Arial" w:cs="Arial"/>
                <w:lang w:eastAsia="en-US"/>
              </w:rPr>
            </w:pPr>
            <w:r w:rsidRPr="00A43B48">
              <w:rPr>
                <w:rFonts w:ascii="Arial" w:hAnsi="Arial" w:cs="Arial"/>
                <w:lang w:eastAsia="en-US"/>
              </w:rPr>
              <w:t>Grant</w:t>
            </w:r>
          </w:p>
          <w:p w14:paraId="19BDD4B1" w14:textId="77777777" w:rsidR="00C74D95" w:rsidRPr="00A43B48" w:rsidRDefault="00C74D95" w:rsidP="00C74D95">
            <w:pPr>
              <w:rPr>
                <w:rFonts w:ascii="Arial" w:hAnsi="Arial" w:cs="Arial"/>
                <w:lang w:eastAsia="en-US"/>
              </w:rPr>
            </w:pPr>
            <w:r w:rsidRPr="00A43B48">
              <w:rPr>
                <w:rFonts w:ascii="Arial" w:hAnsi="Arial" w:cs="Arial"/>
                <w:lang w:eastAsia="en-US"/>
              </w:rPr>
              <w:t>Fund</w:t>
            </w:r>
          </w:p>
          <w:p w14:paraId="22953F47" w14:textId="77777777" w:rsidR="00C74D95" w:rsidRPr="00A43B48" w:rsidRDefault="00C74D95" w:rsidP="00C74D95">
            <w:pPr>
              <w:rPr>
                <w:rFonts w:ascii="Arial" w:hAnsi="Arial" w:cs="Arial"/>
                <w:lang w:eastAsia="en-US"/>
              </w:rPr>
            </w:pPr>
            <w:r w:rsidRPr="00A43B48">
              <w:rPr>
                <w:rFonts w:ascii="Arial" w:hAnsi="Arial" w:cs="Arial"/>
                <w:lang w:eastAsia="en-US"/>
              </w:rPr>
              <w:t>Revenue</w:t>
            </w:r>
          </w:p>
          <w:p w14:paraId="52A94A61" w14:textId="77777777" w:rsidR="00C74D95" w:rsidRPr="00A43B48" w:rsidRDefault="00C74D95" w:rsidP="00C74D95">
            <w:pPr>
              <w:rPr>
                <w:rFonts w:ascii="Arial" w:hAnsi="Arial" w:cs="Arial"/>
                <w:lang w:eastAsia="en-US"/>
              </w:rPr>
            </w:pPr>
          </w:p>
        </w:tc>
        <w:tc>
          <w:tcPr>
            <w:tcW w:w="1134" w:type="dxa"/>
          </w:tcPr>
          <w:p w14:paraId="43973EEF" w14:textId="77777777" w:rsidR="00C74D95" w:rsidRPr="00A43B48" w:rsidRDefault="00C74D95" w:rsidP="00C74D95">
            <w:pPr>
              <w:jc w:val="right"/>
              <w:rPr>
                <w:rFonts w:ascii="Arial" w:hAnsi="Arial" w:cs="Arial"/>
                <w:lang w:eastAsia="en-US"/>
              </w:rPr>
            </w:pPr>
          </w:p>
          <w:p w14:paraId="1C562C8B" w14:textId="77777777" w:rsidR="00C74D95" w:rsidRPr="00A43B48" w:rsidRDefault="00C74D95" w:rsidP="00C74D95">
            <w:pPr>
              <w:jc w:val="right"/>
              <w:rPr>
                <w:rFonts w:ascii="Arial" w:hAnsi="Arial" w:cs="Arial"/>
                <w:lang w:eastAsia="en-US"/>
              </w:rPr>
            </w:pPr>
            <w:r w:rsidRPr="00A43B48">
              <w:rPr>
                <w:rFonts w:ascii="Arial" w:hAnsi="Arial" w:cs="Arial"/>
                <w:lang w:eastAsia="en-US"/>
              </w:rPr>
              <w:t>1,373</w:t>
            </w:r>
          </w:p>
          <w:p w14:paraId="30F7A28B" w14:textId="77777777" w:rsidR="00C74D95" w:rsidRPr="00A43B48" w:rsidRDefault="00C74D95" w:rsidP="00C74D95">
            <w:pPr>
              <w:jc w:val="right"/>
              <w:rPr>
                <w:rFonts w:ascii="Arial" w:hAnsi="Arial" w:cs="Arial"/>
                <w:lang w:eastAsia="en-US"/>
              </w:rPr>
            </w:pPr>
          </w:p>
          <w:p w14:paraId="2723845E" w14:textId="77777777" w:rsidR="00C74D95" w:rsidRPr="00A43B48" w:rsidRDefault="00C74D95" w:rsidP="00C74D95">
            <w:pPr>
              <w:jc w:val="right"/>
              <w:rPr>
                <w:rFonts w:ascii="Arial" w:hAnsi="Arial" w:cs="Arial"/>
                <w:lang w:eastAsia="en-US"/>
              </w:rPr>
            </w:pPr>
            <w:r w:rsidRPr="00A43B48">
              <w:rPr>
                <w:rFonts w:ascii="Arial" w:hAnsi="Arial" w:cs="Arial"/>
                <w:lang w:eastAsia="en-US"/>
              </w:rPr>
              <w:t>0</w:t>
            </w:r>
          </w:p>
          <w:p w14:paraId="1899C3C5" w14:textId="77777777" w:rsidR="00C74D95" w:rsidRPr="00A43B48" w:rsidRDefault="00C74D95" w:rsidP="00C74D95">
            <w:pPr>
              <w:jc w:val="right"/>
              <w:rPr>
                <w:rFonts w:ascii="Arial" w:hAnsi="Arial" w:cs="Arial"/>
                <w:lang w:eastAsia="en-US"/>
              </w:rPr>
            </w:pPr>
            <w:r w:rsidRPr="00A43B48">
              <w:rPr>
                <w:rFonts w:ascii="Arial" w:hAnsi="Arial" w:cs="Arial"/>
                <w:lang w:eastAsia="en-US"/>
              </w:rPr>
              <w:t>952</w:t>
            </w:r>
          </w:p>
          <w:p w14:paraId="5DF82A31" w14:textId="77777777" w:rsidR="00C74D95" w:rsidRPr="00A43B48" w:rsidRDefault="00C74D95" w:rsidP="00C74D95">
            <w:pPr>
              <w:jc w:val="right"/>
              <w:rPr>
                <w:rFonts w:ascii="Arial" w:hAnsi="Arial" w:cs="Arial"/>
                <w:lang w:eastAsia="en-US"/>
              </w:rPr>
            </w:pPr>
            <w:r w:rsidRPr="00A43B48">
              <w:rPr>
                <w:rFonts w:ascii="Arial" w:hAnsi="Arial" w:cs="Arial"/>
                <w:lang w:eastAsia="en-US"/>
              </w:rPr>
              <w:t>364</w:t>
            </w:r>
          </w:p>
          <w:p w14:paraId="14777A89" w14:textId="77777777" w:rsidR="00C74D95" w:rsidRPr="00A43B48" w:rsidRDefault="00C74D95" w:rsidP="00C74D95">
            <w:pPr>
              <w:jc w:val="right"/>
              <w:rPr>
                <w:rFonts w:ascii="Arial" w:hAnsi="Arial" w:cs="Arial"/>
                <w:lang w:eastAsia="en-US"/>
              </w:rPr>
            </w:pPr>
            <w:r w:rsidRPr="00A43B48">
              <w:rPr>
                <w:rFonts w:ascii="Arial" w:hAnsi="Arial" w:cs="Arial"/>
                <w:lang w:eastAsia="en-US"/>
              </w:rPr>
              <w:t>57</w:t>
            </w:r>
          </w:p>
        </w:tc>
        <w:tc>
          <w:tcPr>
            <w:tcW w:w="1134" w:type="dxa"/>
          </w:tcPr>
          <w:p w14:paraId="46A4A05A" w14:textId="77777777" w:rsidR="00C74D95" w:rsidRPr="00A43B48" w:rsidRDefault="00C74D95" w:rsidP="00C74D95">
            <w:pPr>
              <w:jc w:val="right"/>
              <w:rPr>
                <w:rFonts w:ascii="Arial" w:hAnsi="Arial" w:cs="Arial"/>
                <w:lang w:eastAsia="en-US"/>
              </w:rPr>
            </w:pPr>
          </w:p>
          <w:p w14:paraId="34A87A95" w14:textId="77777777" w:rsidR="00C74D95" w:rsidRPr="00A43B48" w:rsidRDefault="00C74D95" w:rsidP="00C74D95">
            <w:pPr>
              <w:jc w:val="right"/>
              <w:rPr>
                <w:rFonts w:ascii="Arial" w:hAnsi="Arial" w:cs="Arial"/>
                <w:lang w:eastAsia="en-US"/>
              </w:rPr>
            </w:pPr>
            <w:r>
              <w:rPr>
                <w:rFonts w:ascii="Arial" w:hAnsi="Arial" w:cs="Arial"/>
                <w:lang w:eastAsia="en-US"/>
              </w:rPr>
              <w:t>805</w:t>
            </w:r>
          </w:p>
          <w:p w14:paraId="3E737075" w14:textId="77777777" w:rsidR="00C74D95" w:rsidRPr="00A43B48" w:rsidRDefault="00C74D95" w:rsidP="00C74D95">
            <w:pPr>
              <w:jc w:val="right"/>
              <w:rPr>
                <w:rFonts w:ascii="Arial" w:hAnsi="Arial" w:cs="Arial"/>
                <w:lang w:eastAsia="en-US"/>
              </w:rPr>
            </w:pPr>
          </w:p>
          <w:p w14:paraId="6DAE1989" w14:textId="77777777" w:rsidR="00C74D95" w:rsidRPr="00A43B48" w:rsidRDefault="00C74D95" w:rsidP="00C74D95">
            <w:pPr>
              <w:jc w:val="right"/>
              <w:rPr>
                <w:rFonts w:ascii="Arial" w:hAnsi="Arial" w:cs="Arial"/>
                <w:lang w:eastAsia="en-US"/>
              </w:rPr>
            </w:pPr>
            <w:r w:rsidRPr="00A43B48">
              <w:rPr>
                <w:rFonts w:ascii="Arial" w:hAnsi="Arial" w:cs="Arial"/>
                <w:lang w:eastAsia="en-US"/>
              </w:rPr>
              <w:t>0</w:t>
            </w:r>
          </w:p>
          <w:p w14:paraId="4B167F3A" w14:textId="77777777" w:rsidR="00C74D95" w:rsidRPr="00A43B48" w:rsidRDefault="00C74D95" w:rsidP="00C74D95">
            <w:pPr>
              <w:jc w:val="right"/>
              <w:rPr>
                <w:rFonts w:ascii="Arial" w:hAnsi="Arial" w:cs="Arial"/>
                <w:lang w:eastAsia="en-US"/>
              </w:rPr>
            </w:pPr>
            <w:r w:rsidRPr="00A43B48">
              <w:rPr>
                <w:rFonts w:ascii="Arial" w:hAnsi="Arial" w:cs="Arial"/>
                <w:lang w:eastAsia="en-US"/>
              </w:rPr>
              <w:t>0</w:t>
            </w:r>
          </w:p>
          <w:p w14:paraId="391BA19F" w14:textId="77777777" w:rsidR="00C74D95" w:rsidRPr="00A43B48" w:rsidRDefault="00C74D95" w:rsidP="00C74D95">
            <w:pPr>
              <w:jc w:val="right"/>
              <w:rPr>
                <w:rFonts w:ascii="Arial" w:hAnsi="Arial" w:cs="Arial"/>
                <w:lang w:eastAsia="en-US"/>
              </w:rPr>
            </w:pPr>
            <w:r>
              <w:rPr>
                <w:rFonts w:ascii="Arial" w:hAnsi="Arial" w:cs="Arial"/>
                <w:lang w:eastAsia="en-US"/>
              </w:rPr>
              <w:t>0</w:t>
            </w:r>
          </w:p>
          <w:p w14:paraId="74142A86" w14:textId="77777777" w:rsidR="00C74D95" w:rsidRPr="00A43B48" w:rsidRDefault="00C74D95" w:rsidP="00C74D95">
            <w:pPr>
              <w:jc w:val="right"/>
              <w:rPr>
                <w:rFonts w:ascii="Arial" w:hAnsi="Arial" w:cs="Arial"/>
                <w:lang w:eastAsia="en-US"/>
              </w:rPr>
            </w:pPr>
            <w:r>
              <w:rPr>
                <w:rFonts w:ascii="Arial" w:hAnsi="Arial" w:cs="Arial"/>
                <w:lang w:eastAsia="en-US"/>
              </w:rPr>
              <w:t>805</w:t>
            </w:r>
          </w:p>
        </w:tc>
        <w:tc>
          <w:tcPr>
            <w:tcW w:w="1276" w:type="dxa"/>
          </w:tcPr>
          <w:p w14:paraId="44B047BF" w14:textId="77777777" w:rsidR="00C74D95" w:rsidRDefault="00C74D95" w:rsidP="00C74D95">
            <w:pPr>
              <w:jc w:val="right"/>
              <w:rPr>
                <w:rFonts w:ascii="Arial" w:hAnsi="Arial" w:cs="Arial"/>
                <w:lang w:eastAsia="en-US"/>
              </w:rPr>
            </w:pPr>
          </w:p>
          <w:p w14:paraId="39BD47F9" w14:textId="77777777" w:rsidR="004A0A6B" w:rsidRDefault="004A0A6B" w:rsidP="00C74D95">
            <w:pPr>
              <w:jc w:val="right"/>
              <w:rPr>
                <w:rFonts w:ascii="Arial" w:hAnsi="Arial" w:cs="Arial"/>
                <w:lang w:eastAsia="en-US"/>
              </w:rPr>
            </w:pPr>
            <w:r>
              <w:rPr>
                <w:rFonts w:ascii="Arial" w:hAnsi="Arial" w:cs="Arial"/>
                <w:lang w:eastAsia="en-US"/>
              </w:rPr>
              <w:t>1,180</w:t>
            </w:r>
          </w:p>
          <w:p w14:paraId="2D7EF047" w14:textId="77777777" w:rsidR="004A0A6B" w:rsidRDefault="004A0A6B" w:rsidP="00C74D95">
            <w:pPr>
              <w:jc w:val="right"/>
              <w:rPr>
                <w:rFonts w:ascii="Arial" w:hAnsi="Arial" w:cs="Arial"/>
                <w:lang w:eastAsia="en-US"/>
              </w:rPr>
            </w:pPr>
          </w:p>
          <w:p w14:paraId="79D49EF1" w14:textId="77777777" w:rsidR="004A0A6B" w:rsidRDefault="001D1437" w:rsidP="00C74D95">
            <w:pPr>
              <w:jc w:val="right"/>
              <w:rPr>
                <w:rFonts w:ascii="Arial" w:hAnsi="Arial" w:cs="Arial"/>
                <w:lang w:eastAsia="en-US"/>
              </w:rPr>
            </w:pPr>
            <w:r>
              <w:rPr>
                <w:rFonts w:ascii="Arial" w:hAnsi="Arial" w:cs="Arial"/>
                <w:lang w:eastAsia="en-US"/>
              </w:rPr>
              <w:t>0</w:t>
            </w:r>
          </w:p>
          <w:p w14:paraId="6CE28ADE" w14:textId="77777777" w:rsidR="004A0A6B" w:rsidRDefault="004A0A6B" w:rsidP="00C74D95">
            <w:pPr>
              <w:jc w:val="right"/>
              <w:rPr>
                <w:rFonts w:ascii="Arial" w:hAnsi="Arial" w:cs="Arial"/>
                <w:lang w:eastAsia="en-US"/>
              </w:rPr>
            </w:pPr>
            <w:r>
              <w:rPr>
                <w:rFonts w:ascii="Arial" w:hAnsi="Arial" w:cs="Arial"/>
                <w:lang w:eastAsia="en-US"/>
              </w:rPr>
              <w:t>605</w:t>
            </w:r>
          </w:p>
          <w:p w14:paraId="49F668A6" w14:textId="77777777" w:rsidR="004A0A6B" w:rsidRDefault="004A0A6B" w:rsidP="00C74D95">
            <w:pPr>
              <w:jc w:val="right"/>
              <w:rPr>
                <w:rFonts w:ascii="Arial" w:hAnsi="Arial" w:cs="Arial"/>
                <w:lang w:eastAsia="en-US"/>
              </w:rPr>
            </w:pPr>
            <w:r>
              <w:rPr>
                <w:rFonts w:ascii="Arial" w:hAnsi="Arial" w:cs="Arial"/>
                <w:lang w:eastAsia="en-US"/>
              </w:rPr>
              <w:t>0</w:t>
            </w:r>
          </w:p>
          <w:p w14:paraId="0D1987D7" w14:textId="77777777" w:rsidR="004A0A6B" w:rsidRPr="00A43B48" w:rsidRDefault="004A0A6B" w:rsidP="00C74D95">
            <w:pPr>
              <w:jc w:val="right"/>
              <w:rPr>
                <w:rFonts w:ascii="Arial" w:hAnsi="Arial" w:cs="Arial"/>
                <w:lang w:eastAsia="en-US"/>
              </w:rPr>
            </w:pPr>
            <w:r>
              <w:rPr>
                <w:rFonts w:ascii="Arial" w:hAnsi="Arial" w:cs="Arial"/>
                <w:lang w:eastAsia="en-US"/>
              </w:rPr>
              <w:t>575</w:t>
            </w:r>
          </w:p>
        </w:tc>
      </w:tr>
      <w:tr w:rsidR="00C74D95" w:rsidRPr="00A43B48" w14:paraId="4350327F" w14:textId="77777777" w:rsidTr="002B7518">
        <w:tc>
          <w:tcPr>
            <w:tcW w:w="4945" w:type="dxa"/>
          </w:tcPr>
          <w:p w14:paraId="03737C9E" w14:textId="77777777" w:rsidR="00C74D95" w:rsidRPr="00A43B48" w:rsidRDefault="00C74D95" w:rsidP="00C74D95">
            <w:pPr>
              <w:rPr>
                <w:rFonts w:ascii="Arial" w:hAnsi="Arial" w:cs="Arial"/>
                <w:b/>
                <w:lang w:eastAsia="en-US"/>
              </w:rPr>
            </w:pPr>
            <w:r w:rsidRPr="00A43B48">
              <w:rPr>
                <w:rFonts w:ascii="Arial" w:hAnsi="Arial" w:cs="Arial"/>
                <w:b/>
                <w:lang w:eastAsia="en-US"/>
              </w:rPr>
              <w:t>Ratio of Financing Costs to Net Revenue Stream:</w:t>
            </w:r>
          </w:p>
          <w:p w14:paraId="00807DBD" w14:textId="77777777" w:rsidR="00C74D95" w:rsidRPr="00A43B48" w:rsidRDefault="00C74D95" w:rsidP="00C74D95">
            <w:pPr>
              <w:rPr>
                <w:rFonts w:ascii="Arial" w:hAnsi="Arial" w:cs="Arial"/>
                <w:lang w:eastAsia="en-US"/>
              </w:rPr>
            </w:pPr>
            <w:r w:rsidRPr="00A43B48">
              <w:rPr>
                <w:rFonts w:ascii="Arial" w:hAnsi="Arial" w:cs="Arial"/>
                <w:lang w:eastAsia="en-US"/>
              </w:rPr>
              <w:t>The impact of the capital investment decisions in the present capital programme were estimated at 9 pence.</w:t>
            </w:r>
          </w:p>
          <w:p w14:paraId="5C6461F2" w14:textId="77777777" w:rsidR="00C74D95" w:rsidRPr="00A43B48" w:rsidRDefault="00C74D95" w:rsidP="00C74D95">
            <w:pPr>
              <w:rPr>
                <w:rFonts w:ascii="Arial" w:hAnsi="Arial" w:cs="Arial"/>
                <w:lang w:eastAsia="en-US"/>
              </w:rPr>
            </w:pPr>
          </w:p>
        </w:tc>
        <w:tc>
          <w:tcPr>
            <w:tcW w:w="1134" w:type="dxa"/>
          </w:tcPr>
          <w:p w14:paraId="120E7A27" w14:textId="77777777" w:rsidR="00C74D95" w:rsidRPr="00A43B48" w:rsidRDefault="00C74D95" w:rsidP="00C74D95">
            <w:pPr>
              <w:jc w:val="right"/>
              <w:rPr>
                <w:rFonts w:ascii="Arial" w:hAnsi="Arial" w:cs="Arial"/>
                <w:lang w:eastAsia="en-US"/>
              </w:rPr>
            </w:pPr>
          </w:p>
          <w:p w14:paraId="5070E510" w14:textId="77777777" w:rsidR="00C74D95" w:rsidRPr="00A43B48" w:rsidRDefault="00C74D95" w:rsidP="00C74D95">
            <w:pPr>
              <w:jc w:val="right"/>
              <w:rPr>
                <w:rFonts w:ascii="Arial" w:hAnsi="Arial" w:cs="Arial"/>
                <w:lang w:eastAsia="en-US"/>
              </w:rPr>
            </w:pPr>
            <w:r w:rsidRPr="00A43B48">
              <w:rPr>
                <w:rFonts w:ascii="Arial" w:hAnsi="Arial" w:cs="Arial"/>
                <w:lang w:eastAsia="en-US"/>
              </w:rPr>
              <w:t>2.7%</w:t>
            </w:r>
          </w:p>
        </w:tc>
        <w:tc>
          <w:tcPr>
            <w:tcW w:w="1134" w:type="dxa"/>
          </w:tcPr>
          <w:p w14:paraId="161067D0" w14:textId="77777777" w:rsidR="00C74D95" w:rsidRPr="00A43B48" w:rsidRDefault="00C74D95" w:rsidP="00C74D95">
            <w:pPr>
              <w:jc w:val="right"/>
              <w:rPr>
                <w:rFonts w:ascii="Arial" w:hAnsi="Arial" w:cs="Arial"/>
                <w:lang w:eastAsia="en-US"/>
              </w:rPr>
            </w:pPr>
          </w:p>
          <w:p w14:paraId="0E6B579B" w14:textId="77777777" w:rsidR="00C74D95" w:rsidRPr="00A43B48" w:rsidRDefault="00C74D95" w:rsidP="00C74D95">
            <w:pPr>
              <w:jc w:val="right"/>
              <w:rPr>
                <w:rFonts w:ascii="Arial" w:hAnsi="Arial" w:cs="Arial"/>
                <w:lang w:eastAsia="en-US"/>
              </w:rPr>
            </w:pPr>
            <w:r w:rsidRPr="00A43B48">
              <w:rPr>
                <w:rFonts w:ascii="Arial" w:hAnsi="Arial" w:cs="Arial"/>
                <w:lang w:eastAsia="en-US"/>
              </w:rPr>
              <w:t>4.</w:t>
            </w:r>
            <w:r>
              <w:rPr>
                <w:rFonts w:ascii="Arial" w:hAnsi="Arial" w:cs="Arial"/>
                <w:lang w:eastAsia="en-US"/>
              </w:rPr>
              <w:t>9</w:t>
            </w:r>
            <w:r w:rsidRPr="00A43B48">
              <w:rPr>
                <w:rFonts w:ascii="Arial" w:hAnsi="Arial" w:cs="Arial"/>
                <w:lang w:eastAsia="en-US"/>
              </w:rPr>
              <w:t>%</w:t>
            </w:r>
          </w:p>
        </w:tc>
        <w:tc>
          <w:tcPr>
            <w:tcW w:w="1276" w:type="dxa"/>
          </w:tcPr>
          <w:p w14:paraId="470C7BE6" w14:textId="77777777" w:rsidR="00C74D95" w:rsidRDefault="00C74D95" w:rsidP="00C74D95">
            <w:pPr>
              <w:jc w:val="right"/>
              <w:rPr>
                <w:rFonts w:ascii="Arial" w:hAnsi="Arial" w:cs="Arial"/>
                <w:lang w:eastAsia="en-US"/>
              </w:rPr>
            </w:pPr>
          </w:p>
          <w:p w14:paraId="44F9EEEF" w14:textId="77777777" w:rsidR="00C74D95" w:rsidRPr="00A43B48" w:rsidRDefault="00C74D95" w:rsidP="00C74D95">
            <w:pPr>
              <w:jc w:val="right"/>
              <w:rPr>
                <w:rFonts w:ascii="Arial" w:hAnsi="Arial" w:cs="Arial"/>
                <w:lang w:eastAsia="en-US"/>
              </w:rPr>
            </w:pPr>
            <w:r>
              <w:rPr>
                <w:rFonts w:ascii="Arial" w:hAnsi="Arial" w:cs="Arial"/>
                <w:lang w:eastAsia="en-US"/>
              </w:rPr>
              <w:t>2.8%</w:t>
            </w:r>
          </w:p>
        </w:tc>
      </w:tr>
      <w:tr w:rsidR="00C74D95" w:rsidRPr="00A43B48" w14:paraId="2F443AB1" w14:textId="77777777" w:rsidTr="002B7518">
        <w:tc>
          <w:tcPr>
            <w:tcW w:w="4945" w:type="dxa"/>
          </w:tcPr>
          <w:p w14:paraId="76AE0CA6" w14:textId="77777777" w:rsidR="00C74D95" w:rsidRPr="00A43B48" w:rsidRDefault="00C74D95" w:rsidP="00C74D95">
            <w:pPr>
              <w:rPr>
                <w:rFonts w:ascii="Arial" w:hAnsi="Arial" w:cs="Arial"/>
                <w:b/>
                <w:lang w:eastAsia="en-US"/>
              </w:rPr>
            </w:pPr>
            <w:r w:rsidRPr="00A43B48">
              <w:rPr>
                <w:rFonts w:ascii="Arial" w:hAnsi="Arial" w:cs="Arial"/>
                <w:b/>
                <w:lang w:eastAsia="en-US"/>
              </w:rPr>
              <w:t>Capital Financing Requirement</w:t>
            </w:r>
          </w:p>
          <w:p w14:paraId="0E282655" w14:textId="77777777" w:rsidR="00C74D95" w:rsidRPr="00A43B48" w:rsidRDefault="00C74D95" w:rsidP="00C74D95">
            <w:pPr>
              <w:rPr>
                <w:rFonts w:ascii="Arial" w:hAnsi="Arial" w:cs="Arial"/>
                <w:lang w:eastAsia="en-US"/>
              </w:rPr>
            </w:pPr>
            <w:r w:rsidRPr="00A43B48">
              <w:rPr>
                <w:rFonts w:ascii="Arial" w:hAnsi="Arial" w:cs="Arial"/>
                <w:lang w:eastAsia="en-US"/>
              </w:rPr>
              <w:t>The capital financing requirement has reduced due to the decision to fund capital schemes with reserves and balances, thereby reducing the borrowing requirement.</w:t>
            </w:r>
          </w:p>
          <w:p w14:paraId="35533F41" w14:textId="77777777" w:rsidR="00C74D95" w:rsidRPr="00A43B48" w:rsidRDefault="00C74D95" w:rsidP="00C74D95">
            <w:pPr>
              <w:rPr>
                <w:rFonts w:ascii="Arial" w:hAnsi="Arial" w:cs="Arial"/>
                <w:lang w:eastAsia="en-US"/>
              </w:rPr>
            </w:pPr>
          </w:p>
        </w:tc>
        <w:tc>
          <w:tcPr>
            <w:tcW w:w="1134" w:type="dxa"/>
          </w:tcPr>
          <w:p w14:paraId="55AE792D" w14:textId="77777777" w:rsidR="00C74D95" w:rsidRPr="00A43B48" w:rsidRDefault="00C74D95" w:rsidP="00C74D95">
            <w:pPr>
              <w:jc w:val="right"/>
              <w:rPr>
                <w:rFonts w:ascii="Arial" w:hAnsi="Arial" w:cs="Arial"/>
                <w:lang w:eastAsia="en-US"/>
              </w:rPr>
            </w:pPr>
          </w:p>
          <w:p w14:paraId="216BA803" w14:textId="77777777" w:rsidR="00C74D95" w:rsidRPr="00A43B48" w:rsidRDefault="00C74D95" w:rsidP="00C74D95">
            <w:pPr>
              <w:jc w:val="right"/>
              <w:rPr>
                <w:rFonts w:ascii="Arial" w:hAnsi="Arial" w:cs="Arial"/>
                <w:lang w:eastAsia="en-US"/>
              </w:rPr>
            </w:pPr>
            <w:r w:rsidRPr="00A43B48">
              <w:rPr>
                <w:rFonts w:ascii="Arial" w:hAnsi="Arial" w:cs="Arial"/>
                <w:lang w:eastAsia="en-US"/>
              </w:rPr>
              <w:t>4,997</w:t>
            </w:r>
          </w:p>
        </w:tc>
        <w:tc>
          <w:tcPr>
            <w:tcW w:w="1134" w:type="dxa"/>
          </w:tcPr>
          <w:p w14:paraId="3A194DD0" w14:textId="77777777" w:rsidR="00C74D95" w:rsidRPr="00A43B48" w:rsidRDefault="00C74D95" w:rsidP="00C74D95">
            <w:pPr>
              <w:jc w:val="right"/>
              <w:rPr>
                <w:rFonts w:ascii="Arial" w:hAnsi="Arial" w:cs="Arial"/>
                <w:lang w:eastAsia="en-US"/>
              </w:rPr>
            </w:pPr>
          </w:p>
          <w:p w14:paraId="77CAEC6A" w14:textId="77777777" w:rsidR="00C74D95" w:rsidRPr="00A43B48" w:rsidRDefault="00C74D95" w:rsidP="00C74D95">
            <w:pPr>
              <w:jc w:val="right"/>
              <w:rPr>
                <w:rFonts w:ascii="Arial" w:hAnsi="Arial" w:cs="Arial"/>
                <w:lang w:eastAsia="en-US"/>
              </w:rPr>
            </w:pPr>
            <w:r>
              <w:rPr>
                <w:rFonts w:ascii="Arial" w:hAnsi="Arial" w:cs="Arial"/>
                <w:lang w:eastAsia="en-US"/>
              </w:rPr>
              <w:t>4,998</w:t>
            </w:r>
          </w:p>
        </w:tc>
        <w:tc>
          <w:tcPr>
            <w:tcW w:w="1276" w:type="dxa"/>
          </w:tcPr>
          <w:p w14:paraId="3EDCA621" w14:textId="77777777" w:rsidR="00C74D95" w:rsidRDefault="00C74D95" w:rsidP="00C74D95">
            <w:pPr>
              <w:jc w:val="right"/>
              <w:rPr>
                <w:rFonts w:ascii="Arial" w:hAnsi="Arial" w:cs="Arial"/>
                <w:lang w:eastAsia="en-US"/>
              </w:rPr>
            </w:pPr>
          </w:p>
          <w:p w14:paraId="31DE1123" w14:textId="77777777" w:rsidR="00C74D95" w:rsidRPr="00A43B48" w:rsidRDefault="00C74D95" w:rsidP="00C74D95">
            <w:pPr>
              <w:jc w:val="right"/>
              <w:rPr>
                <w:rFonts w:ascii="Arial" w:hAnsi="Arial" w:cs="Arial"/>
                <w:lang w:eastAsia="en-US"/>
              </w:rPr>
            </w:pPr>
            <w:r>
              <w:rPr>
                <w:rFonts w:ascii="Arial" w:hAnsi="Arial" w:cs="Arial"/>
                <w:lang w:eastAsia="en-US"/>
              </w:rPr>
              <w:t>4,741</w:t>
            </w:r>
          </w:p>
        </w:tc>
      </w:tr>
      <w:tr w:rsidR="00883A23" w:rsidRPr="00A43B48" w14:paraId="36B33D20" w14:textId="77777777" w:rsidTr="002B7518">
        <w:tc>
          <w:tcPr>
            <w:tcW w:w="8489" w:type="dxa"/>
            <w:gridSpan w:val="4"/>
          </w:tcPr>
          <w:p w14:paraId="678C5D02" w14:textId="77777777" w:rsidR="00883A23" w:rsidRPr="00A43B48" w:rsidRDefault="00883A23" w:rsidP="002B7518">
            <w:pPr>
              <w:rPr>
                <w:rFonts w:ascii="Arial" w:hAnsi="Arial" w:cs="Arial"/>
                <w:b/>
                <w:lang w:eastAsia="en-US"/>
              </w:rPr>
            </w:pPr>
            <w:r w:rsidRPr="00A43B48">
              <w:rPr>
                <w:rFonts w:ascii="Arial" w:hAnsi="Arial" w:cs="Arial"/>
                <w:b/>
                <w:lang w:eastAsia="en-US"/>
              </w:rPr>
              <w:t>Net Investment</w:t>
            </w:r>
          </w:p>
          <w:p w14:paraId="0ED90539" w14:textId="4F8FD0C1" w:rsidR="00883A23" w:rsidRPr="00A43B48" w:rsidRDefault="00883A23" w:rsidP="002B7518">
            <w:pPr>
              <w:rPr>
                <w:rFonts w:ascii="Arial" w:hAnsi="Arial" w:cs="Arial"/>
                <w:lang w:eastAsia="en-US"/>
              </w:rPr>
            </w:pPr>
            <w:r w:rsidRPr="00A43B48">
              <w:rPr>
                <w:rFonts w:ascii="Arial" w:hAnsi="Arial" w:cs="Arial"/>
                <w:lang w:eastAsia="en-US"/>
              </w:rPr>
              <w:t>Net investment at 31 March 201</w:t>
            </w:r>
            <w:r w:rsidR="00790F6D">
              <w:rPr>
                <w:rFonts w:ascii="Arial" w:hAnsi="Arial" w:cs="Arial"/>
                <w:lang w:eastAsia="en-US"/>
              </w:rPr>
              <w:t>4</w:t>
            </w:r>
            <w:r w:rsidRPr="00A43B48">
              <w:rPr>
                <w:rFonts w:ascii="Arial" w:hAnsi="Arial" w:cs="Arial"/>
                <w:lang w:eastAsia="en-US"/>
              </w:rPr>
              <w:t xml:space="preserve"> was £</w:t>
            </w:r>
            <w:r w:rsidR="00790F6D">
              <w:rPr>
                <w:rFonts w:ascii="Arial" w:hAnsi="Arial" w:cs="Arial"/>
                <w:lang w:eastAsia="en-US"/>
              </w:rPr>
              <w:t>6.838m</w:t>
            </w:r>
            <w:r w:rsidR="00DB2231">
              <w:rPr>
                <w:rFonts w:ascii="Arial" w:hAnsi="Arial" w:cs="Arial"/>
                <w:lang w:eastAsia="en-US"/>
              </w:rPr>
              <w:t>. Short-</w:t>
            </w:r>
            <w:r w:rsidRPr="00A43B48">
              <w:rPr>
                <w:rFonts w:ascii="Arial" w:hAnsi="Arial" w:cs="Arial"/>
                <w:lang w:eastAsia="en-US"/>
              </w:rPr>
              <w:t>term investments of £</w:t>
            </w:r>
            <w:r w:rsidR="00790F6D">
              <w:rPr>
                <w:rFonts w:ascii="Arial" w:hAnsi="Arial" w:cs="Arial"/>
                <w:lang w:eastAsia="en-US"/>
              </w:rPr>
              <w:t>12.648</w:t>
            </w:r>
            <w:r w:rsidRPr="00A43B48">
              <w:rPr>
                <w:rFonts w:ascii="Arial" w:hAnsi="Arial" w:cs="Arial"/>
                <w:lang w:eastAsia="en-US"/>
              </w:rPr>
              <w:t>m were offset by gross borrowing of £5.810m.</w:t>
            </w:r>
          </w:p>
          <w:p w14:paraId="36AA19F9" w14:textId="77777777" w:rsidR="00883A23" w:rsidRPr="00A43B48" w:rsidRDefault="00883A23" w:rsidP="002B7518">
            <w:pPr>
              <w:rPr>
                <w:rFonts w:ascii="Arial" w:hAnsi="Arial" w:cs="Arial"/>
                <w:lang w:eastAsia="en-US"/>
              </w:rPr>
            </w:pPr>
          </w:p>
        </w:tc>
      </w:tr>
    </w:tbl>
    <w:p w14:paraId="220C2D84" w14:textId="77777777" w:rsidR="005E5141" w:rsidRDefault="005E5141">
      <w:r>
        <w:br w:type="page"/>
      </w:r>
    </w:p>
    <w:tbl>
      <w:tblPr>
        <w:tblStyle w:val="TableGrid"/>
        <w:tblW w:w="8489" w:type="dxa"/>
        <w:tblInd w:w="720" w:type="dxa"/>
        <w:tblLook w:val="04A0" w:firstRow="1" w:lastRow="0" w:firstColumn="1" w:lastColumn="0" w:noHBand="0" w:noVBand="1"/>
      </w:tblPr>
      <w:tblGrid>
        <w:gridCol w:w="8489"/>
      </w:tblGrid>
      <w:tr w:rsidR="00883A23" w:rsidRPr="00A43B48" w14:paraId="0513AB17" w14:textId="77777777" w:rsidTr="002B7518">
        <w:tc>
          <w:tcPr>
            <w:tcW w:w="8489" w:type="dxa"/>
          </w:tcPr>
          <w:p w14:paraId="153CBC09" w14:textId="2824ACF6" w:rsidR="00883A23" w:rsidRPr="00A43B48" w:rsidRDefault="00883A23" w:rsidP="002B7518">
            <w:pPr>
              <w:rPr>
                <w:rFonts w:ascii="Arial" w:hAnsi="Arial" w:cs="Arial"/>
                <w:b/>
                <w:lang w:eastAsia="en-US"/>
              </w:rPr>
            </w:pPr>
            <w:r w:rsidRPr="00A43B48">
              <w:rPr>
                <w:rFonts w:ascii="Arial" w:hAnsi="Arial" w:cs="Arial"/>
                <w:b/>
                <w:lang w:eastAsia="en-US"/>
              </w:rPr>
              <w:lastRenderedPageBreak/>
              <w:t>Actual External Debt</w:t>
            </w:r>
          </w:p>
          <w:p w14:paraId="56065CB7" w14:textId="34CB7D8E" w:rsidR="00883A23" w:rsidRPr="00A43B48" w:rsidRDefault="00883A23" w:rsidP="002B7518">
            <w:pPr>
              <w:rPr>
                <w:rFonts w:ascii="Arial" w:hAnsi="Arial" w:cs="Arial"/>
                <w:lang w:eastAsia="en-US"/>
              </w:rPr>
            </w:pPr>
            <w:r w:rsidRPr="00A43B48">
              <w:rPr>
                <w:rFonts w:ascii="Arial" w:hAnsi="Arial" w:cs="Arial"/>
                <w:lang w:eastAsia="en-US"/>
              </w:rPr>
              <w:t>Actual external debt at 31 March 201</w:t>
            </w:r>
            <w:r w:rsidR="00790F6D">
              <w:rPr>
                <w:rFonts w:ascii="Arial" w:hAnsi="Arial" w:cs="Arial"/>
                <w:lang w:eastAsia="en-US"/>
              </w:rPr>
              <w:t>4</w:t>
            </w:r>
            <w:r w:rsidR="00DB2231">
              <w:rPr>
                <w:rFonts w:ascii="Arial" w:hAnsi="Arial" w:cs="Arial"/>
                <w:lang w:eastAsia="en-US"/>
              </w:rPr>
              <w:t xml:space="preserve"> was £5.810m, plus other long-</w:t>
            </w:r>
            <w:r w:rsidRPr="00A43B48">
              <w:rPr>
                <w:rFonts w:ascii="Arial" w:hAnsi="Arial" w:cs="Arial"/>
                <w:lang w:eastAsia="en-US"/>
              </w:rPr>
              <w:t>term liabilities at 31 March 2013 of £</w:t>
            </w:r>
            <w:r w:rsidR="00A37EB7">
              <w:rPr>
                <w:rFonts w:ascii="Arial" w:hAnsi="Arial" w:cs="Arial"/>
                <w:lang w:eastAsia="en-US"/>
              </w:rPr>
              <w:t>28</w:t>
            </w:r>
            <w:r w:rsidRPr="00A43B48">
              <w:rPr>
                <w:rFonts w:ascii="Arial" w:hAnsi="Arial" w:cs="Arial"/>
                <w:lang w:eastAsia="en-US"/>
              </w:rPr>
              <w:t xml:space="preserve">k (finance leases). </w:t>
            </w:r>
          </w:p>
          <w:p w14:paraId="4D1FC234" w14:textId="77777777" w:rsidR="00883A23" w:rsidRPr="00A43B48" w:rsidRDefault="00883A23" w:rsidP="002B7518">
            <w:pPr>
              <w:rPr>
                <w:rFonts w:ascii="Arial" w:hAnsi="Arial" w:cs="Arial"/>
                <w:lang w:eastAsia="en-US"/>
              </w:rPr>
            </w:pPr>
          </w:p>
          <w:p w14:paraId="566A2A0B" w14:textId="77777777" w:rsidR="00883A23" w:rsidRPr="00A43B48" w:rsidRDefault="00883A23" w:rsidP="002B7518">
            <w:pPr>
              <w:rPr>
                <w:rFonts w:ascii="Arial" w:hAnsi="Arial" w:cs="Arial"/>
                <w:lang w:eastAsia="en-US"/>
              </w:rPr>
            </w:pPr>
            <w:r w:rsidRPr="00A43B48">
              <w:rPr>
                <w:rFonts w:ascii="Arial" w:hAnsi="Arial" w:cs="Arial"/>
                <w:lang w:eastAsia="en-US"/>
              </w:rPr>
              <w:t>The Authority’s gross debt, at £5.810m, was higher than its Capital Financing Requirement, set in 201</w:t>
            </w:r>
            <w:r w:rsidR="00A37EB7">
              <w:rPr>
                <w:rFonts w:ascii="Arial" w:hAnsi="Arial" w:cs="Arial"/>
                <w:lang w:eastAsia="en-US"/>
              </w:rPr>
              <w:t>3</w:t>
            </w:r>
            <w:r w:rsidRPr="00A43B48">
              <w:rPr>
                <w:rFonts w:ascii="Arial" w:hAnsi="Arial" w:cs="Arial"/>
                <w:lang w:eastAsia="en-US"/>
              </w:rPr>
              <w:t>/1</w:t>
            </w:r>
            <w:r w:rsidR="00A37EB7">
              <w:rPr>
                <w:rFonts w:ascii="Arial" w:hAnsi="Arial" w:cs="Arial"/>
                <w:lang w:eastAsia="en-US"/>
              </w:rPr>
              <w:t>4</w:t>
            </w:r>
            <w:r w:rsidRPr="00A43B48">
              <w:rPr>
                <w:rFonts w:ascii="Arial" w:hAnsi="Arial" w:cs="Arial"/>
                <w:lang w:eastAsia="en-US"/>
              </w:rPr>
              <w:t xml:space="preserve"> at £</w:t>
            </w:r>
            <w:r w:rsidR="00A37EB7">
              <w:rPr>
                <w:rFonts w:ascii="Arial" w:hAnsi="Arial" w:cs="Arial"/>
                <w:lang w:eastAsia="en-US"/>
              </w:rPr>
              <w:t>4.998m</w:t>
            </w:r>
            <w:r w:rsidRPr="00A43B48">
              <w:rPr>
                <w:rFonts w:ascii="Arial" w:hAnsi="Arial" w:cs="Arial"/>
                <w:lang w:eastAsia="en-US"/>
              </w:rPr>
              <w:t>, and confirmed at £</w:t>
            </w:r>
            <w:r w:rsidR="00A37EB7">
              <w:rPr>
                <w:rFonts w:ascii="Arial" w:hAnsi="Arial" w:cs="Arial"/>
                <w:lang w:eastAsia="en-US"/>
              </w:rPr>
              <w:t>4.741</w:t>
            </w:r>
            <w:r w:rsidRPr="00A43B48">
              <w:rPr>
                <w:rFonts w:ascii="Arial" w:hAnsi="Arial" w:cs="Arial"/>
                <w:lang w:eastAsia="en-US"/>
              </w:rPr>
              <w:t>m at the end of the year.</w:t>
            </w:r>
          </w:p>
          <w:p w14:paraId="41DBCA14" w14:textId="77777777" w:rsidR="00883A23" w:rsidRPr="00A43B48" w:rsidRDefault="00883A23" w:rsidP="002B7518">
            <w:pPr>
              <w:ind w:left="709"/>
              <w:rPr>
                <w:rFonts w:ascii="Arial" w:hAnsi="Arial" w:cs="Arial"/>
                <w:lang w:eastAsia="en-US"/>
              </w:rPr>
            </w:pPr>
          </w:p>
          <w:p w14:paraId="27E43231" w14:textId="77777777" w:rsidR="00883A23" w:rsidRPr="00A43B48" w:rsidRDefault="00883A23" w:rsidP="002B7518">
            <w:pPr>
              <w:rPr>
                <w:rFonts w:ascii="Arial" w:hAnsi="Arial" w:cs="Arial"/>
                <w:lang w:eastAsia="en-US"/>
              </w:rPr>
            </w:pPr>
            <w:r w:rsidRPr="00A43B48">
              <w:rPr>
                <w:rFonts w:ascii="Arial" w:hAnsi="Arial" w:cs="Arial"/>
                <w:lang w:eastAsia="en-US"/>
              </w:rPr>
              <w:t>The reason for this difference is that some schemes in the capital programme were funded by reserves and balances, therefore no funding requirement was necessary.  However, as minimum revenue provision is set aside each year against past borrowing and assets, this reduced the existing borrowing requirements.  This is allowable, as the Authority still operated within its Operational Boundary (set at £</w:t>
            </w:r>
            <w:r w:rsidR="002648AF">
              <w:rPr>
                <w:rFonts w:ascii="Arial" w:hAnsi="Arial" w:cs="Arial"/>
                <w:lang w:eastAsia="en-US"/>
              </w:rPr>
              <w:t>5.810</w:t>
            </w:r>
            <w:r w:rsidRPr="00A43B48">
              <w:rPr>
                <w:rFonts w:ascii="Arial" w:hAnsi="Arial" w:cs="Arial"/>
                <w:lang w:eastAsia="en-US"/>
              </w:rPr>
              <w:t>m) and Authorised Limit (£</w:t>
            </w:r>
            <w:r w:rsidR="002648AF">
              <w:rPr>
                <w:rFonts w:ascii="Arial" w:hAnsi="Arial" w:cs="Arial"/>
                <w:lang w:eastAsia="en-US"/>
              </w:rPr>
              <w:t>7.699</w:t>
            </w:r>
            <w:r w:rsidRPr="00A43B48">
              <w:rPr>
                <w:rFonts w:ascii="Arial" w:hAnsi="Arial" w:cs="Arial"/>
                <w:lang w:eastAsia="en-US"/>
              </w:rPr>
              <w:t>m).</w:t>
            </w:r>
          </w:p>
          <w:p w14:paraId="78663BDE" w14:textId="77777777" w:rsidR="00883A23" w:rsidRPr="00A43B48" w:rsidRDefault="00883A23" w:rsidP="002B7518">
            <w:pPr>
              <w:rPr>
                <w:rFonts w:ascii="Arial" w:hAnsi="Arial" w:cs="Arial"/>
                <w:lang w:eastAsia="en-US"/>
              </w:rPr>
            </w:pPr>
          </w:p>
        </w:tc>
      </w:tr>
      <w:tr w:rsidR="00883A23" w:rsidRPr="00A43B48" w14:paraId="25736C47" w14:textId="77777777" w:rsidTr="002B7518">
        <w:tc>
          <w:tcPr>
            <w:tcW w:w="8489" w:type="dxa"/>
          </w:tcPr>
          <w:p w14:paraId="5E973326" w14:textId="77777777" w:rsidR="00883A23" w:rsidRPr="00A43B48" w:rsidRDefault="00883A23" w:rsidP="002B7518">
            <w:pPr>
              <w:autoSpaceDE w:val="0"/>
              <w:autoSpaceDN w:val="0"/>
              <w:adjustRightInd w:val="0"/>
              <w:rPr>
                <w:rFonts w:ascii="Arial" w:hAnsi="Arial" w:cs="Arial"/>
                <w:b/>
                <w:bCs/>
                <w:lang w:eastAsia="en-US"/>
              </w:rPr>
            </w:pPr>
            <w:r w:rsidRPr="00A43B48">
              <w:rPr>
                <w:rFonts w:ascii="Arial" w:hAnsi="Arial" w:cs="Arial"/>
                <w:b/>
                <w:bCs/>
                <w:lang w:eastAsia="en-US"/>
              </w:rPr>
              <w:t>Treasury Management Indicators</w:t>
            </w:r>
          </w:p>
          <w:p w14:paraId="69920F92" w14:textId="2350464A" w:rsidR="00883A23" w:rsidRPr="00A43B48" w:rsidRDefault="00883A23" w:rsidP="002B7518">
            <w:pPr>
              <w:numPr>
                <w:ilvl w:val="0"/>
                <w:numId w:val="23"/>
              </w:numPr>
              <w:autoSpaceDE w:val="0"/>
              <w:autoSpaceDN w:val="0"/>
              <w:adjustRightInd w:val="0"/>
              <w:ind w:left="585" w:hanging="567"/>
              <w:contextualSpacing/>
              <w:rPr>
                <w:rFonts w:ascii="Arial" w:hAnsi="Arial" w:cs="Arial"/>
                <w:lang w:eastAsia="en-US"/>
              </w:rPr>
            </w:pPr>
            <w:r w:rsidRPr="00A43B48">
              <w:rPr>
                <w:rFonts w:ascii="Arial" w:hAnsi="Arial" w:cs="Arial"/>
                <w:lang w:eastAsia="en-US"/>
              </w:rPr>
              <w:t>An upper limit of 100% of external debt can be borrowed at fixed interest rates.</w:t>
            </w:r>
            <w:r w:rsidR="00DB2231">
              <w:rPr>
                <w:rFonts w:ascii="Arial" w:hAnsi="Arial" w:cs="Arial"/>
                <w:lang w:eastAsia="en-US"/>
              </w:rPr>
              <w:t xml:space="preserve"> </w:t>
            </w:r>
            <w:r w:rsidRPr="00A43B48">
              <w:rPr>
                <w:rFonts w:ascii="Arial" w:hAnsi="Arial" w:cs="Arial"/>
                <w:lang w:eastAsia="en-US"/>
              </w:rPr>
              <w:t xml:space="preserve">All of the Fire Authority’s external debt is at fixed rates. </w:t>
            </w:r>
            <w:r w:rsidR="00DB2231">
              <w:rPr>
                <w:rFonts w:ascii="Arial" w:hAnsi="Arial" w:cs="Arial"/>
                <w:lang w:eastAsia="en-US"/>
              </w:rPr>
              <w:t xml:space="preserve"> </w:t>
            </w:r>
            <w:r w:rsidRPr="00A43B48">
              <w:rPr>
                <w:rFonts w:ascii="Arial" w:hAnsi="Arial" w:cs="Arial"/>
                <w:lang w:eastAsia="en-US"/>
              </w:rPr>
              <w:t>All of this debt is also arranged for longer than 10 years, which is in accordance with the Prudential Indicator.</w:t>
            </w:r>
          </w:p>
          <w:p w14:paraId="236C3AEB" w14:textId="77777777" w:rsidR="00883A23" w:rsidRPr="0071686E" w:rsidRDefault="00883A23" w:rsidP="002B7518">
            <w:pPr>
              <w:numPr>
                <w:ilvl w:val="0"/>
                <w:numId w:val="23"/>
              </w:numPr>
              <w:autoSpaceDE w:val="0"/>
              <w:autoSpaceDN w:val="0"/>
              <w:adjustRightInd w:val="0"/>
              <w:ind w:left="585" w:hanging="567"/>
              <w:contextualSpacing/>
              <w:rPr>
                <w:rFonts w:ascii="Arial" w:hAnsi="Arial" w:cs="Arial"/>
                <w:lang w:eastAsia="en-US"/>
              </w:rPr>
            </w:pPr>
            <w:r w:rsidRPr="0071686E">
              <w:rPr>
                <w:rFonts w:ascii="Arial" w:hAnsi="Arial" w:cs="Arial"/>
                <w:lang w:eastAsia="en-US"/>
              </w:rPr>
              <w:t>No money has been invested for more than 364 days.</w:t>
            </w:r>
          </w:p>
          <w:p w14:paraId="0A1D0BE9" w14:textId="77777777" w:rsidR="00883A23" w:rsidRPr="0071686E" w:rsidRDefault="00883A23" w:rsidP="002B7518">
            <w:pPr>
              <w:numPr>
                <w:ilvl w:val="0"/>
                <w:numId w:val="23"/>
              </w:numPr>
              <w:ind w:left="585" w:hanging="567"/>
              <w:rPr>
                <w:rFonts w:ascii="Arial" w:hAnsi="Arial" w:cs="Arial"/>
                <w:sz w:val="23"/>
                <w:szCs w:val="23"/>
                <w:lang w:eastAsia="en-US"/>
              </w:rPr>
            </w:pPr>
            <w:r w:rsidRPr="0071686E">
              <w:rPr>
                <w:rFonts w:ascii="Arial" w:hAnsi="Arial" w:cs="Arial"/>
                <w:lang w:eastAsia="en-US"/>
              </w:rPr>
              <w:t>At 31 March 201</w:t>
            </w:r>
            <w:r w:rsidR="00586BA6" w:rsidRPr="0071686E">
              <w:rPr>
                <w:rFonts w:ascii="Arial" w:hAnsi="Arial" w:cs="Arial"/>
                <w:lang w:eastAsia="en-US"/>
              </w:rPr>
              <w:t>4</w:t>
            </w:r>
            <w:r w:rsidRPr="0071686E">
              <w:rPr>
                <w:rFonts w:ascii="Arial" w:hAnsi="Arial" w:cs="Arial"/>
                <w:lang w:eastAsia="en-US"/>
              </w:rPr>
              <w:t>, all funds were invested at fixed rates.</w:t>
            </w:r>
          </w:p>
          <w:p w14:paraId="175EA883" w14:textId="77777777" w:rsidR="00883A23" w:rsidRPr="00A43B48" w:rsidRDefault="00883A23" w:rsidP="002B7518">
            <w:pPr>
              <w:ind w:left="585"/>
              <w:rPr>
                <w:rFonts w:ascii="Arial" w:hAnsi="Arial" w:cs="Arial"/>
                <w:b/>
                <w:sz w:val="23"/>
                <w:szCs w:val="23"/>
                <w:lang w:eastAsia="en-US"/>
              </w:rPr>
            </w:pPr>
          </w:p>
        </w:tc>
      </w:tr>
    </w:tbl>
    <w:p w14:paraId="580DAC98" w14:textId="77777777" w:rsidR="00883A23" w:rsidRDefault="00883A23" w:rsidP="00883A23">
      <w:pPr>
        <w:pStyle w:val="PlainText"/>
        <w:rPr>
          <w:rFonts w:ascii="Arial" w:hAnsi="Arial" w:cs="Arial"/>
          <w:sz w:val="24"/>
          <w:szCs w:val="24"/>
          <w:lang w:eastAsia="en-US"/>
        </w:rPr>
      </w:pPr>
    </w:p>
    <w:p w14:paraId="50A9EE18" w14:textId="77777777" w:rsidR="00DC01EF" w:rsidRPr="00DC01EF" w:rsidRDefault="00DC01EF" w:rsidP="00341866">
      <w:pPr>
        <w:pStyle w:val="sssubhead1"/>
        <w:rPr>
          <w:snapToGrid w:val="0"/>
        </w:rPr>
      </w:pPr>
      <w:r w:rsidRPr="00DC01EF">
        <w:rPr>
          <w:snapToGrid w:val="0"/>
        </w:rPr>
        <w:t>201</w:t>
      </w:r>
      <w:r w:rsidR="001D1437">
        <w:rPr>
          <w:snapToGrid w:val="0"/>
        </w:rPr>
        <w:t>4</w:t>
      </w:r>
      <w:r w:rsidRPr="00DC01EF">
        <w:rPr>
          <w:snapToGrid w:val="0"/>
        </w:rPr>
        <w:t>/1</w:t>
      </w:r>
      <w:r w:rsidR="001D1437">
        <w:rPr>
          <w:snapToGrid w:val="0"/>
        </w:rPr>
        <w:t>5</w:t>
      </w:r>
      <w:r w:rsidRPr="00DC01EF">
        <w:rPr>
          <w:snapToGrid w:val="0"/>
        </w:rPr>
        <w:t xml:space="preserve"> Prudential Indicators</w:t>
      </w:r>
    </w:p>
    <w:p w14:paraId="221FE87C" w14:textId="77777777" w:rsidR="00F72E0D" w:rsidRPr="002304D6" w:rsidRDefault="00F72E0D" w:rsidP="00DC01EF">
      <w:pPr>
        <w:widowControl w:val="0"/>
        <w:rPr>
          <w:rFonts w:ascii="Arial" w:hAnsi="Arial" w:cs="Arial"/>
          <w:snapToGrid w:val="0"/>
          <w:lang w:eastAsia="en-US"/>
        </w:rPr>
      </w:pPr>
    </w:p>
    <w:p w14:paraId="3D26A7C0" w14:textId="59A53DC1" w:rsidR="00DC01EF" w:rsidRDefault="00DC01EF" w:rsidP="00E57061">
      <w:pPr>
        <w:widowControl w:val="0"/>
        <w:ind w:left="720"/>
        <w:rPr>
          <w:rFonts w:ascii="Arial" w:hAnsi="Arial" w:cs="Arial"/>
          <w:snapToGrid w:val="0"/>
          <w:lang w:eastAsia="en-US"/>
        </w:rPr>
      </w:pPr>
      <w:r w:rsidRPr="00DC01EF">
        <w:rPr>
          <w:rFonts w:ascii="Arial" w:hAnsi="Arial" w:cs="Arial"/>
          <w:snapToGrid w:val="0"/>
          <w:lang w:eastAsia="en-US"/>
        </w:rPr>
        <w:t>In line with CIPFA’s Prudential Code for Capital Finance, the Treasurer is</w:t>
      </w:r>
      <w:r w:rsidR="00E57061">
        <w:rPr>
          <w:rFonts w:ascii="Arial" w:hAnsi="Arial" w:cs="Arial"/>
          <w:snapToGrid w:val="0"/>
          <w:lang w:eastAsia="en-US"/>
        </w:rPr>
        <w:t xml:space="preserve"> </w:t>
      </w:r>
      <w:r w:rsidRPr="00DC01EF">
        <w:rPr>
          <w:rFonts w:ascii="Arial" w:hAnsi="Arial" w:cs="Arial"/>
          <w:snapToGrid w:val="0"/>
          <w:lang w:eastAsia="en-US"/>
        </w:rPr>
        <w:t>required to establish procedures to monitor performance against all forward</w:t>
      </w:r>
      <w:r w:rsidR="00DB2231">
        <w:rPr>
          <w:rFonts w:ascii="Arial" w:hAnsi="Arial" w:cs="Arial"/>
          <w:snapToGrid w:val="0"/>
          <w:lang w:eastAsia="en-US"/>
        </w:rPr>
        <w:t>-</w:t>
      </w:r>
      <w:r w:rsidR="00E57061">
        <w:rPr>
          <w:rFonts w:ascii="Arial" w:hAnsi="Arial" w:cs="Arial"/>
          <w:snapToGrid w:val="0"/>
          <w:lang w:eastAsia="en-US"/>
        </w:rPr>
        <w:t xml:space="preserve"> </w:t>
      </w:r>
      <w:r w:rsidRPr="00DC01EF">
        <w:rPr>
          <w:rFonts w:ascii="Arial" w:hAnsi="Arial" w:cs="Arial"/>
          <w:snapToGrid w:val="0"/>
          <w:lang w:eastAsia="en-US"/>
        </w:rPr>
        <w:t>looking prudential indicators and, in particular, that net external borrowing</w:t>
      </w:r>
      <w:r w:rsidR="00E57061">
        <w:rPr>
          <w:rFonts w:ascii="Arial" w:hAnsi="Arial" w:cs="Arial"/>
          <w:snapToGrid w:val="0"/>
          <w:lang w:eastAsia="en-US"/>
        </w:rPr>
        <w:t xml:space="preserve"> </w:t>
      </w:r>
      <w:r w:rsidRPr="00DC01EF">
        <w:rPr>
          <w:rFonts w:ascii="Arial" w:hAnsi="Arial" w:cs="Arial"/>
          <w:snapToGrid w:val="0"/>
          <w:lang w:eastAsia="en-US"/>
        </w:rPr>
        <w:t>does not (except in the short term) exceed the requirement to borrow for</w:t>
      </w:r>
      <w:r w:rsidR="00E57061">
        <w:rPr>
          <w:rFonts w:ascii="Arial" w:hAnsi="Arial" w:cs="Arial"/>
          <w:snapToGrid w:val="0"/>
          <w:lang w:eastAsia="en-US"/>
        </w:rPr>
        <w:t xml:space="preserve"> </w:t>
      </w:r>
      <w:r w:rsidRPr="00DC01EF">
        <w:rPr>
          <w:rFonts w:ascii="Arial" w:hAnsi="Arial" w:cs="Arial"/>
          <w:snapToGrid w:val="0"/>
          <w:lang w:eastAsia="en-US"/>
        </w:rPr>
        <w:t>capital purposes.</w:t>
      </w:r>
    </w:p>
    <w:p w14:paraId="71E6F5FC" w14:textId="77777777" w:rsidR="002304D6" w:rsidRDefault="002304D6" w:rsidP="00E57061">
      <w:pPr>
        <w:widowControl w:val="0"/>
        <w:ind w:left="720"/>
        <w:rPr>
          <w:rFonts w:ascii="Arial" w:hAnsi="Arial" w:cs="Arial"/>
          <w:snapToGrid w:val="0"/>
          <w:lang w:eastAsia="en-US"/>
        </w:rPr>
      </w:pPr>
    </w:p>
    <w:p w14:paraId="0EFE4E44" w14:textId="77777777" w:rsidR="00DC01EF" w:rsidRDefault="00DC01EF" w:rsidP="00E57061">
      <w:pPr>
        <w:widowControl w:val="0"/>
        <w:ind w:left="720"/>
        <w:rPr>
          <w:rFonts w:ascii="Arial" w:hAnsi="Arial" w:cs="Arial"/>
          <w:snapToGrid w:val="0"/>
          <w:lang w:eastAsia="en-US"/>
        </w:rPr>
      </w:pPr>
      <w:r w:rsidRPr="00DC01EF">
        <w:rPr>
          <w:rFonts w:ascii="Arial" w:hAnsi="Arial" w:cs="Arial"/>
          <w:snapToGrid w:val="0"/>
          <w:lang w:eastAsia="en-US"/>
        </w:rPr>
        <w:t>The Fire Authority has established that it will receive regular monitoring</w:t>
      </w:r>
      <w:r w:rsidR="00E57061">
        <w:rPr>
          <w:rFonts w:ascii="Arial" w:hAnsi="Arial" w:cs="Arial"/>
          <w:snapToGrid w:val="0"/>
          <w:lang w:eastAsia="en-US"/>
        </w:rPr>
        <w:t xml:space="preserve"> </w:t>
      </w:r>
      <w:r w:rsidRPr="00DC01EF">
        <w:rPr>
          <w:rFonts w:ascii="Arial" w:hAnsi="Arial" w:cs="Arial"/>
          <w:snapToGrid w:val="0"/>
          <w:lang w:eastAsia="en-US"/>
        </w:rPr>
        <w:t>reports during the year; the position to the end of September is shown below.</w:t>
      </w:r>
    </w:p>
    <w:p w14:paraId="4D0D2E31" w14:textId="77777777" w:rsidR="00DC01EF" w:rsidRPr="002304D6" w:rsidRDefault="00DC01EF" w:rsidP="00DC01EF">
      <w:pPr>
        <w:widowControl w:val="0"/>
        <w:ind w:left="720"/>
        <w:rPr>
          <w:rFonts w:ascii="Arial" w:hAnsi="Arial" w:cs="Arial"/>
          <w:snapToGrid w:val="0"/>
          <w:lang w:eastAsia="en-US"/>
        </w:rPr>
      </w:pPr>
    </w:p>
    <w:p w14:paraId="0DB1DD14" w14:textId="77777777" w:rsidR="00DC01EF" w:rsidRPr="00DC01EF" w:rsidRDefault="00DC01EF" w:rsidP="00DC01EF">
      <w:pPr>
        <w:widowControl w:val="0"/>
        <w:ind w:left="720"/>
        <w:rPr>
          <w:rFonts w:ascii="Arial" w:hAnsi="Arial" w:cs="Arial"/>
          <w:b/>
          <w:bCs/>
          <w:snapToGrid w:val="0"/>
          <w:lang w:eastAsia="en-US"/>
        </w:rPr>
      </w:pPr>
      <w:r w:rsidRPr="00DC01EF">
        <w:rPr>
          <w:rFonts w:ascii="Arial" w:hAnsi="Arial" w:cs="Arial"/>
          <w:b/>
          <w:bCs/>
          <w:snapToGrid w:val="0"/>
          <w:lang w:eastAsia="en-US"/>
        </w:rPr>
        <w:t>Capital Financing Requirement (£</w:t>
      </w:r>
      <w:r w:rsidR="00D06356">
        <w:rPr>
          <w:rFonts w:ascii="Arial" w:hAnsi="Arial" w:cs="Arial"/>
          <w:b/>
          <w:bCs/>
          <w:snapToGrid w:val="0"/>
          <w:lang w:eastAsia="en-US"/>
        </w:rPr>
        <w:t>4.</w:t>
      </w:r>
      <w:r w:rsidR="001D1437">
        <w:rPr>
          <w:rFonts w:ascii="Arial" w:hAnsi="Arial" w:cs="Arial"/>
          <w:b/>
          <w:bCs/>
          <w:snapToGrid w:val="0"/>
          <w:lang w:eastAsia="en-US"/>
        </w:rPr>
        <w:t>407</w:t>
      </w:r>
      <w:r>
        <w:rPr>
          <w:rFonts w:ascii="Arial" w:hAnsi="Arial" w:cs="Arial"/>
          <w:b/>
          <w:bCs/>
          <w:snapToGrid w:val="0"/>
          <w:lang w:eastAsia="en-US"/>
        </w:rPr>
        <w:t>m</w:t>
      </w:r>
      <w:r w:rsidRPr="00DC01EF">
        <w:rPr>
          <w:rFonts w:ascii="Arial" w:hAnsi="Arial" w:cs="Arial"/>
          <w:b/>
          <w:bCs/>
          <w:snapToGrid w:val="0"/>
          <w:lang w:eastAsia="en-US"/>
        </w:rPr>
        <w:t>)</w:t>
      </w:r>
    </w:p>
    <w:p w14:paraId="7B7B027B" w14:textId="77777777" w:rsidR="00F51096" w:rsidRPr="002304D6" w:rsidRDefault="00F51096" w:rsidP="00E57061">
      <w:pPr>
        <w:widowControl w:val="0"/>
        <w:ind w:left="720"/>
        <w:rPr>
          <w:rFonts w:ascii="Arial" w:hAnsi="Arial" w:cs="Arial"/>
          <w:snapToGrid w:val="0"/>
          <w:lang w:eastAsia="en-US"/>
        </w:rPr>
      </w:pPr>
    </w:p>
    <w:p w14:paraId="391B2E0F" w14:textId="77777777" w:rsidR="00DC01EF" w:rsidRDefault="00DC01EF" w:rsidP="00E57061">
      <w:pPr>
        <w:widowControl w:val="0"/>
        <w:ind w:left="720"/>
        <w:rPr>
          <w:rFonts w:ascii="Arial" w:hAnsi="Arial" w:cs="Arial"/>
          <w:snapToGrid w:val="0"/>
          <w:lang w:eastAsia="en-US"/>
        </w:rPr>
      </w:pPr>
      <w:r w:rsidRPr="00DC01EF">
        <w:rPr>
          <w:rFonts w:ascii="Arial" w:hAnsi="Arial" w:cs="Arial"/>
          <w:snapToGrid w:val="0"/>
          <w:lang w:eastAsia="en-US"/>
        </w:rPr>
        <w:t>This is the amount required by the Authority to fund its capital investment.</w:t>
      </w:r>
      <w:r w:rsidR="00E57061">
        <w:rPr>
          <w:rFonts w:ascii="Arial" w:hAnsi="Arial" w:cs="Arial"/>
          <w:snapToGrid w:val="0"/>
          <w:lang w:eastAsia="en-US"/>
        </w:rPr>
        <w:t xml:space="preserve">  </w:t>
      </w:r>
      <w:r w:rsidRPr="00DC01EF">
        <w:rPr>
          <w:rFonts w:ascii="Arial" w:hAnsi="Arial" w:cs="Arial"/>
          <w:snapToGrid w:val="0"/>
          <w:lang w:eastAsia="en-US"/>
        </w:rPr>
        <w:t>This includes all capital investment expected to be made this year, less any</w:t>
      </w:r>
      <w:r w:rsidR="00E57061">
        <w:rPr>
          <w:rFonts w:ascii="Arial" w:hAnsi="Arial" w:cs="Arial"/>
          <w:snapToGrid w:val="0"/>
          <w:lang w:eastAsia="en-US"/>
        </w:rPr>
        <w:t xml:space="preserve"> </w:t>
      </w:r>
      <w:r w:rsidRPr="00DC01EF">
        <w:rPr>
          <w:rFonts w:ascii="Arial" w:hAnsi="Arial" w:cs="Arial"/>
          <w:snapToGrid w:val="0"/>
          <w:lang w:eastAsia="en-US"/>
        </w:rPr>
        <w:t>contributions from revenue or grant.</w:t>
      </w:r>
    </w:p>
    <w:p w14:paraId="62C2B536" w14:textId="77777777" w:rsidR="00DC01EF" w:rsidRPr="002304D6" w:rsidRDefault="00DC01EF" w:rsidP="00DC01EF">
      <w:pPr>
        <w:widowControl w:val="0"/>
        <w:ind w:left="720"/>
        <w:rPr>
          <w:rFonts w:ascii="Arial" w:hAnsi="Arial" w:cs="Arial"/>
          <w:snapToGrid w:val="0"/>
          <w:lang w:eastAsia="en-US"/>
        </w:rPr>
      </w:pPr>
    </w:p>
    <w:p w14:paraId="62AEC88F" w14:textId="77777777" w:rsidR="00DC01EF" w:rsidRPr="00DC01EF" w:rsidRDefault="00DC01EF" w:rsidP="00DC01EF">
      <w:pPr>
        <w:widowControl w:val="0"/>
        <w:ind w:left="720"/>
        <w:rPr>
          <w:rFonts w:ascii="Arial" w:hAnsi="Arial" w:cs="Arial"/>
          <w:b/>
          <w:bCs/>
          <w:snapToGrid w:val="0"/>
          <w:lang w:eastAsia="en-US"/>
        </w:rPr>
      </w:pPr>
      <w:r w:rsidRPr="00DC01EF">
        <w:rPr>
          <w:rFonts w:ascii="Arial" w:hAnsi="Arial" w:cs="Arial"/>
          <w:b/>
          <w:bCs/>
          <w:snapToGrid w:val="0"/>
          <w:lang w:eastAsia="en-US"/>
        </w:rPr>
        <w:t>Authorised Limit for External Debt (£</w:t>
      </w:r>
      <w:r w:rsidR="001D1437">
        <w:rPr>
          <w:rFonts w:ascii="Arial" w:hAnsi="Arial" w:cs="Arial"/>
          <w:b/>
          <w:bCs/>
          <w:snapToGrid w:val="0"/>
          <w:lang w:eastAsia="en-US"/>
        </w:rPr>
        <w:t>7.407m</w:t>
      </w:r>
      <w:r w:rsidRPr="00DC01EF">
        <w:rPr>
          <w:rFonts w:ascii="Arial" w:hAnsi="Arial" w:cs="Arial"/>
          <w:b/>
          <w:bCs/>
          <w:snapToGrid w:val="0"/>
          <w:lang w:eastAsia="en-US"/>
        </w:rPr>
        <w:t>)</w:t>
      </w:r>
    </w:p>
    <w:p w14:paraId="6650FE06" w14:textId="77777777" w:rsidR="00F51096" w:rsidRPr="002304D6" w:rsidRDefault="00F51096" w:rsidP="00E57061">
      <w:pPr>
        <w:widowControl w:val="0"/>
        <w:ind w:left="720"/>
        <w:rPr>
          <w:rFonts w:ascii="Arial" w:hAnsi="Arial" w:cs="Arial"/>
          <w:snapToGrid w:val="0"/>
          <w:lang w:eastAsia="en-US"/>
        </w:rPr>
      </w:pPr>
    </w:p>
    <w:p w14:paraId="4C2E117B" w14:textId="77777777" w:rsidR="00DC01EF" w:rsidRDefault="00DC01EF" w:rsidP="00E57061">
      <w:pPr>
        <w:widowControl w:val="0"/>
        <w:ind w:left="720"/>
        <w:rPr>
          <w:rFonts w:ascii="Arial" w:hAnsi="Arial" w:cs="Arial"/>
          <w:snapToGrid w:val="0"/>
          <w:lang w:eastAsia="en-US"/>
        </w:rPr>
      </w:pPr>
      <w:r w:rsidRPr="00DC01EF">
        <w:rPr>
          <w:rFonts w:ascii="Arial" w:hAnsi="Arial" w:cs="Arial"/>
          <w:snapToGrid w:val="0"/>
          <w:lang w:eastAsia="en-US"/>
        </w:rPr>
        <w:t>The Authorised Limit represents the amount required to fund the Authority’s</w:t>
      </w:r>
      <w:r w:rsidR="00E57061">
        <w:rPr>
          <w:rFonts w:ascii="Arial" w:hAnsi="Arial" w:cs="Arial"/>
          <w:snapToGrid w:val="0"/>
          <w:lang w:eastAsia="en-US"/>
        </w:rPr>
        <w:t xml:space="preserve"> </w:t>
      </w:r>
      <w:r w:rsidRPr="00DC01EF">
        <w:rPr>
          <w:rFonts w:ascii="Arial" w:hAnsi="Arial" w:cs="Arial"/>
          <w:snapToGrid w:val="0"/>
          <w:lang w:eastAsia="en-US"/>
        </w:rPr>
        <w:t>capital financing, plus a provision for temporary borrowing, should the receipt</w:t>
      </w:r>
      <w:r w:rsidR="00E57061">
        <w:rPr>
          <w:rFonts w:ascii="Arial" w:hAnsi="Arial" w:cs="Arial"/>
          <w:snapToGrid w:val="0"/>
          <w:lang w:eastAsia="en-US"/>
        </w:rPr>
        <w:t xml:space="preserve"> </w:t>
      </w:r>
      <w:r w:rsidRPr="00DC01EF">
        <w:rPr>
          <w:rFonts w:ascii="Arial" w:hAnsi="Arial" w:cs="Arial"/>
          <w:snapToGrid w:val="0"/>
          <w:lang w:eastAsia="en-US"/>
        </w:rPr>
        <w:t>of revenue money be delayed, although this should happen very rarely.</w:t>
      </w:r>
      <w:r w:rsidR="00E57061">
        <w:rPr>
          <w:rFonts w:ascii="Arial" w:hAnsi="Arial" w:cs="Arial"/>
          <w:snapToGrid w:val="0"/>
          <w:lang w:eastAsia="en-US"/>
        </w:rPr>
        <w:t xml:space="preserve">  </w:t>
      </w:r>
      <w:r w:rsidRPr="00DC01EF">
        <w:rPr>
          <w:rFonts w:ascii="Arial" w:hAnsi="Arial" w:cs="Arial"/>
          <w:snapToGrid w:val="0"/>
          <w:lang w:eastAsia="en-US"/>
        </w:rPr>
        <w:t xml:space="preserve">Borrowing currently stands at £5.810m, well within the indicator. </w:t>
      </w:r>
      <w:r w:rsidR="00E57061">
        <w:rPr>
          <w:rFonts w:ascii="Arial" w:hAnsi="Arial" w:cs="Arial"/>
          <w:snapToGrid w:val="0"/>
          <w:lang w:eastAsia="en-US"/>
        </w:rPr>
        <w:t xml:space="preserve"> </w:t>
      </w:r>
      <w:r w:rsidRPr="00DC01EF">
        <w:rPr>
          <w:rFonts w:ascii="Arial" w:hAnsi="Arial" w:cs="Arial"/>
          <w:snapToGrid w:val="0"/>
          <w:lang w:eastAsia="en-US"/>
        </w:rPr>
        <w:t>No</w:t>
      </w:r>
      <w:r w:rsidR="00E57061">
        <w:rPr>
          <w:rFonts w:ascii="Arial" w:hAnsi="Arial" w:cs="Arial"/>
          <w:snapToGrid w:val="0"/>
          <w:lang w:eastAsia="en-US"/>
        </w:rPr>
        <w:t xml:space="preserve"> </w:t>
      </w:r>
      <w:r w:rsidRPr="00DC01EF">
        <w:rPr>
          <w:rFonts w:ascii="Arial" w:hAnsi="Arial" w:cs="Arial"/>
          <w:snapToGrid w:val="0"/>
          <w:lang w:eastAsia="en-US"/>
        </w:rPr>
        <w:t>temporary borrowing has been necessary.</w:t>
      </w:r>
    </w:p>
    <w:p w14:paraId="1E618BB4" w14:textId="77777777" w:rsidR="00DC01EF" w:rsidRPr="002304D6" w:rsidRDefault="00DC01EF" w:rsidP="00DC01EF">
      <w:pPr>
        <w:widowControl w:val="0"/>
        <w:ind w:left="720"/>
        <w:rPr>
          <w:rFonts w:ascii="Arial" w:hAnsi="Arial" w:cs="Arial"/>
          <w:snapToGrid w:val="0"/>
          <w:lang w:eastAsia="en-US"/>
        </w:rPr>
      </w:pPr>
    </w:p>
    <w:p w14:paraId="1F394113" w14:textId="77777777" w:rsidR="00DC01EF" w:rsidRPr="00DC01EF" w:rsidRDefault="00DC01EF" w:rsidP="00DC01EF">
      <w:pPr>
        <w:widowControl w:val="0"/>
        <w:ind w:left="720"/>
        <w:rPr>
          <w:rFonts w:ascii="Arial" w:hAnsi="Arial" w:cs="Arial"/>
          <w:b/>
          <w:bCs/>
          <w:snapToGrid w:val="0"/>
          <w:lang w:eastAsia="en-US"/>
        </w:rPr>
      </w:pPr>
      <w:r w:rsidRPr="00DC01EF">
        <w:rPr>
          <w:rFonts w:ascii="Arial" w:hAnsi="Arial" w:cs="Arial"/>
          <w:b/>
          <w:bCs/>
          <w:snapToGrid w:val="0"/>
          <w:lang w:eastAsia="en-US"/>
        </w:rPr>
        <w:t>Operational Boundary (£</w:t>
      </w:r>
      <w:r w:rsidR="001D1437">
        <w:rPr>
          <w:rFonts w:ascii="Arial" w:hAnsi="Arial" w:cs="Arial"/>
          <w:b/>
          <w:bCs/>
          <w:snapToGrid w:val="0"/>
          <w:lang w:eastAsia="en-US"/>
        </w:rPr>
        <w:t>5.810m</w:t>
      </w:r>
      <w:r w:rsidRPr="00DC01EF">
        <w:rPr>
          <w:rFonts w:ascii="Arial" w:hAnsi="Arial" w:cs="Arial"/>
          <w:b/>
          <w:bCs/>
          <w:snapToGrid w:val="0"/>
          <w:lang w:eastAsia="en-US"/>
        </w:rPr>
        <w:t>)</w:t>
      </w:r>
    </w:p>
    <w:p w14:paraId="728230B8" w14:textId="77777777" w:rsidR="00F51096" w:rsidRPr="002304D6" w:rsidRDefault="00F51096" w:rsidP="00E57061">
      <w:pPr>
        <w:widowControl w:val="0"/>
        <w:ind w:left="720"/>
        <w:rPr>
          <w:rFonts w:ascii="Arial" w:hAnsi="Arial" w:cs="Arial"/>
          <w:snapToGrid w:val="0"/>
          <w:lang w:eastAsia="en-US"/>
        </w:rPr>
      </w:pPr>
    </w:p>
    <w:p w14:paraId="0793F33D" w14:textId="77777777" w:rsidR="00DC01EF" w:rsidRDefault="00DC01EF" w:rsidP="00E57061">
      <w:pPr>
        <w:widowControl w:val="0"/>
        <w:ind w:left="720"/>
        <w:rPr>
          <w:rFonts w:ascii="Arial" w:hAnsi="Arial" w:cs="Arial"/>
          <w:snapToGrid w:val="0"/>
          <w:lang w:eastAsia="en-US"/>
        </w:rPr>
      </w:pPr>
      <w:r w:rsidRPr="00DC01EF">
        <w:rPr>
          <w:rFonts w:ascii="Arial" w:hAnsi="Arial" w:cs="Arial"/>
          <w:snapToGrid w:val="0"/>
          <w:lang w:eastAsia="en-US"/>
        </w:rPr>
        <w:t>The Boundary represents the capital investment entered into by the Authority,</w:t>
      </w:r>
      <w:r w:rsidR="00E57061">
        <w:rPr>
          <w:rFonts w:ascii="Arial" w:hAnsi="Arial" w:cs="Arial"/>
          <w:snapToGrid w:val="0"/>
          <w:lang w:eastAsia="en-US"/>
        </w:rPr>
        <w:t xml:space="preserve"> </w:t>
      </w:r>
      <w:r w:rsidRPr="00DC01EF">
        <w:rPr>
          <w:rFonts w:ascii="Arial" w:hAnsi="Arial" w:cs="Arial"/>
          <w:snapToGrid w:val="0"/>
          <w:lang w:eastAsia="en-US"/>
        </w:rPr>
        <w:t xml:space="preserve">including any loans to be taken during the year. </w:t>
      </w:r>
      <w:r w:rsidR="00E57061">
        <w:rPr>
          <w:rFonts w:ascii="Arial" w:hAnsi="Arial" w:cs="Arial"/>
          <w:snapToGrid w:val="0"/>
          <w:lang w:eastAsia="en-US"/>
        </w:rPr>
        <w:t xml:space="preserve"> </w:t>
      </w:r>
      <w:r w:rsidRPr="00DC01EF">
        <w:rPr>
          <w:rFonts w:ascii="Arial" w:hAnsi="Arial" w:cs="Arial"/>
          <w:snapToGrid w:val="0"/>
          <w:lang w:eastAsia="en-US"/>
        </w:rPr>
        <w:t>Unlike the Authorised Limit,</w:t>
      </w:r>
      <w:r w:rsidR="00E57061">
        <w:rPr>
          <w:rFonts w:ascii="Arial" w:hAnsi="Arial" w:cs="Arial"/>
          <w:snapToGrid w:val="0"/>
          <w:lang w:eastAsia="en-US"/>
        </w:rPr>
        <w:t xml:space="preserve"> </w:t>
      </w:r>
      <w:r w:rsidRPr="00DC01EF">
        <w:rPr>
          <w:rFonts w:ascii="Arial" w:hAnsi="Arial" w:cs="Arial"/>
          <w:snapToGrid w:val="0"/>
          <w:lang w:eastAsia="en-US"/>
        </w:rPr>
        <w:t xml:space="preserve">this may be exceeded, although this would require some investigation. </w:t>
      </w:r>
    </w:p>
    <w:p w14:paraId="2D35865E" w14:textId="77777777" w:rsidR="00DC01EF" w:rsidRPr="00DC01EF" w:rsidRDefault="00DC01EF" w:rsidP="00341866">
      <w:pPr>
        <w:pStyle w:val="sssubhead1"/>
      </w:pPr>
      <w:r w:rsidRPr="00DC01EF">
        <w:lastRenderedPageBreak/>
        <w:t>Mid-Year Treasury Review 201</w:t>
      </w:r>
      <w:r w:rsidR="001D1437">
        <w:t>4/15</w:t>
      </w:r>
    </w:p>
    <w:p w14:paraId="7970900C" w14:textId="77777777" w:rsidR="00DC01EF" w:rsidRPr="002304D6" w:rsidRDefault="00DC01EF" w:rsidP="00DC01EF">
      <w:pPr>
        <w:pStyle w:val="PlainText"/>
        <w:rPr>
          <w:rFonts w:ascii="Arial" w:hAnsi="Arial" w:cs="Arial"/>
          <w:sz w:val="24"/>
          <w:szCs w:val="24"/>
          <w:lang w:eastAsia="en-US"/>
        </w:rPr>
      </w:pPr>
    </w:p>
    <w:p w14:paraId="6E531CA2" w14:textId="77777777" w:rsidR="00DC01EF" w:rsidRDefault="00DC01EF" w:rsidP="00DC01EF">
      <w:pPr>
        <w:autoSpaceDE w:val="0"/>
        <w:autoSpaceDN w:val="0"/>
        <w:adjustRightInd w:val="0"/>
        <w:ind w:firstLine="720"/>
        <w:rPr>
          <w:rFonts w:ascii="Arial" w:hAnsi="Arial" w:cs="Arial"/>
          <w:b/>
          <w:bCs/>
          <w:lang w:eastAsia="en-US"/>
        </w:rPr>
      </w:pPr>
      <w:r w:rsidRPr="00DC01EF">
        <w:rPr>
          <w:rFonts w:ascii="Arial" w:hAnsi="Arial" w:cs="Arial"/>
          <w:b/>
          <w:bCs/>
          <w:lang w:eastAsia="en-US"/>
        </w:rPr>
        <w:t>Compliance with the Treasury Policy Statement</w:t>
      </w:r>
    </w:p>
    <w:p w14:paraId="057E71DC" w14:textId="77777777" w:rsidR="00DC01EF" w:rsidRPr="002304D6" w:rsidRDefault="00DC01EF" w:rsidP="00DC01EF">
      <w:pPr>
        <w:autoSpaceDE w:val="0"/>
        <w:autoSpaceDN w:val="0"/>
        <w:adjustRightInd w:val="0"/>
        <w:ind w:firstLine="720"/>
        <w:rPr>
          <w:rFonts w:ascii="Arial" w:hAnsi="Arial" w:cs="Arial"/>
          <w:b/>
          <w:bCs/>
          <w:lang w:eastAsia="en-US"/>
        </w:rPr>
      </w:pPr>
    </w:p>
    <w:p w14:paraId="5EE2B3E6" w14:textId="77777777" w:rsidR="00DC01EF" w:rsidRDefault="00DC01EF" w:rsidP="00E57061">
      <w:pPr>
        <w:autoSpaceDE w:val="0"/>
        <w:autoSpaceDN w:val="0"/>
        <w:adjustRightInd w:val="0"/>
        <w:ind w:left="709"/>
        <w:rPr>
          <w:rFonts w:ascii="Arial" w:hAnsi="Arial" w:cs="Arial"/>
          <w:lang w:eastAsia="en-US"/>
        </w:rPr>
      </w:pPr>
      <w:r w:rsidRPr="00DC01EF">
        <w:rPr>
          <w:rFonts w:ascii="Arial" w:hAnsi="Arial" w:cs="Arial"/>
          <w:lang w:eastAsia="en-US"/>
        </w:rPr>
        <w:t>This review is presented in accordance with the Fire Authority’s Treasury</w:t>
      </w:r>
      <w:r w:rsidR="00E57061">
        <w:rPr>
          <w:rFonts w:ascii="Arial" w:hAnsi="Arial" w:cs="Arial"/>
          <w:lang w:eastAsia="en-US"/>
        </w:rPr>
        <w:t xml:space="preserve"> </w:t>
      </w:r>
      <w:r w:rsidRPr="00DC01EF">
        <w:rPr>
          <w:rFonts w:ascii="Arial" w:hAnsi="Arial" w:cs="Arial"/>
          <w:lang w:eastAsia="en-US"/>
        </w:rPr>
        <w:t>Policy Statement, which complies with the CIPFA Code of Practice on</w:t>
      </w:r>
      <w:r w:rsidR="00E57061">
        <w:rPr>
          <w:rFonts w:ascii="Arial" w:hAnsi="Arial" w:cs="Arial"/>
          <w:lang w:eastAsia="en-US"/>
        </w:rPr>
        <w:t xml:space="preserve"> </w:t>
      </w:r>
      <w:r w:rsidRPr="00DC01EF">
        <w:rPr>
          <w:rFonts w:ascii="Arial" w:hAnsi="Arial" w:cs="Arial"/>
          <w:lang w:eastAsia="en-US"/>
        </w:rPr>
        <w:t xml:space="preserve">Treasury </w:t>
      </w:r>
      <w:r w:rsidR="00E57061">
        <w:rPr>
          <w:rFonts w:ascii="Arial" w:hAnsi="Arial" w:cs="Arial"/>
          <w:lang w:eastAsia="en-US"/>
        </w:rPr>
        <w:t>Management in Local Authorities.  The Code</w:t>
      </w:r>
      <w:r w:rsidRPr="00DC01EF">
        <w:rPr>
          <w:rFonts w:ascii="Arial" w:hAnsi="Arial" w:cs="Arial"/>
          <w:lang w:eastAsia="en-US"/>
        </w:rPr>
        <w:t xml:space="preserve"> requires a mid-year review</w:t>
      </w:r>
      <w:r w:rsidR="00E57061">
        <w:rPr>
          <w:rFonts w:ascii="Arial" w:hAnsi="Arial" w:cs="Arial"/>
          <w:lang w:eastAsia="en-US"/>
        </w:rPr>
        <w:t xml:space="preserve"> </w:t>
      </w:r>
      <w:r w:rsidRPr="00DC01EF">
        <w:rPr>
          <w:rFonts w:ascii="Arial" w:hAnsi="Arial" w:cs="Arial"/>
          <w:lang w:eastAsia="en-US"/>
        </w:rPr>
        <w:t>report of the current year.</w:t>
      </w:r>
    </w:p>
    <w:p w14:paraId="3A1C7A7D" w14:textId="77777777" w:rsidR="00DC01EF" w:rsidRPr="002304D6" w:rsidRDefault="00DC01EF" w:rsidP="00DC01EF">
      <w:pPr>
        <w:pStyle w:val="PlainText"/>
        <w:ind w:firstLine="720"/>
        <w:rPr>
          <w:rFonts w:ascii="Arial" w:hAnsi="Arial" w:cs="Arial"/>
          <w:sz w:val="24"/>
          <w:szCs w:val="24"/>
          <w:lang w:eastAsia="en-US"/>
        </w:rPr>
      </w:pPr>
    </w:p>
    <w:p w14:paraId="7193D184" w14:textId="77777777" w:rsidR="00DC01EF" w:rsidRPr="00DC01EF" w:rsidRDefault="00DC01EF" w:rsidP="00935DF4">
      <w:pPr>
        <w:autoSpaceDE w:val="0"/>
        <w:autoSpaceDN w:val="0"/>
        <w:adjustRightInd w:val="0"/>
        <w:ind w:firstLine="720"/>
        <w:rPr>
          <w:rFonts w:ascii="Arial" w:hAnsi="Arial" w:cs="Arial"/>
          <w:lang w:eastAsia="en-US"/>
        </w:rPr>
      </w:pPr>
      <w:r w:rsidRPr="00DC01EF">
        <w:rPr>
          <w:rFonts w:ascii="Arial" w:hAnsi="Arial" w:cs="Arial"/>
          <w:lang w:eastAsia="en-US"/>
        </w:rPr>
        <w:t>This is the mid-year review report for 201</w:t>
      </w:r>
      <w:r w:rsidR="001D1437">
        <w:rPr>
          <w:rFonts w:ascii="Arial" w:hAnsi="Arial" w:cs="Arial"/>
          <w:lang w:eastAsia="en-US"/>
        </w:rPr>
        <w:t>4</w:t>
      </w:r>
      <w:r w:rsidRPr="00DC01EF">
        <w:rPr>
          <w:rFonts w:ascii="Arial" w:hAnsi="Arial" w:cs="Arial"/>
          <w:lang w:eastAsia="en-US"/>
        </w:rPr>
        <w:t>/1</w:t>
      </w:r>
      <w:r w:rsidR="001D1437">
        <w:rPr>
          <w:rFonts w:ascii="Arial" w:hAnsi="Arial" w:cs="Arial"/>
          <w:lang w:eastAsia="en-US"/>
        </w:rPr>
        <w:t>5</w:t>
      </w:r>
      <w:r w:rsidRPr="00DC01EF">
        <w:rPr>
          <w:rFonts w:ascii="Arial" w:hAnsi="Arial" w:cs="Arial"/>
          <w:lang w:eastAsia="en-US"/>
        </w:rPr>
        <w:t>.</w:t>
      </w:r>
    </w:p>
    <w:p w14:paraId="4ED9B96D" w14:textId="77777777" w:rsidR="00DC01EF" w:rsidRPr="002304D6" w:rsidRDefault="00DC01EF" w:rsidP="00DC01EF">
      <w:pPr>
        <w:autoSpaceDE w:val="0"/>
        <w:autoSpaceDN w:val="0"/>
        <w:adjustRightInd w:val="0"/>
        <w:rPr>
          <w:rFonts w:ascii="Arial" w:hAnsi="Arial" w:cs="Arial"/>
          <w:b/>
          <w:bCs/>
          <w:lang w:eastAsia="en-US"/>
        </w:rPr>
      </w:pPr>
    </w:p>
    <w:p w14:paraId="11AB69D6" w14:textId="77777777" w:rsidR="00DC01EF" w:rsidRPr="00DC01EF" w:rsidRDefault="00DC01EF" w:rsidP="00935DF4">
      <w:pPr>
        <w:autoSpaceDE w:val="0"/>
        <w:autoSpaceDN w:val="0"/>
        <w:adjustRightInd w:val="0"/>
        <w:ind w:firstLine="720"/>
        <w:rPr>
          <w:rFonts w:ascii="Arial" w:hAnsi="Arial" w:cs="Arial"/>
          <w:b/>
          <w:bCs/>
          <w:lang w:eastAsia="en-US"/>
        </w:rPr>
      </w:pPr>
      <w:r w:rsidRPr="00DC01EF">
        <w:rPr>
          <w:rFonts w:ascii="Arial" w:hAnsi="Arial" w:cs="Arial"/>
          <w:b/>
          <w:bCs/>
          <w:lang w:eastAsia="en-US"/>
        </w:rPr>
        <w:t>Current Portfolio</w:t>
      </w:r>
    </w:p>
    <w:p w14:paraId="7807E50B" w14:textId="77777777" w:rsidR="00E57061" w:rsidRPr="002304D6" w:rsidRDefault="00E57061" w:rsidP="00935DF4">
      <w:pPr>
        <w:autoSpaceDE w:val="0"/>
        <w:autoSpaceDN w:val="0"/>
        <w:adjustRightInd w:val="0"/>
        <w:ind w:firstLine="720"/>
        <w:rPr>
          <w:rFonts w:ascii="Arial" w:hAnsi="Arial" w:cs="Arial"/>
          <w:lang w:eastAsia="en-US"/>
        </w:rPr>
      </w:pPr>
    </w:p>
    <w:p w14:paraId="61EAE0F0" w14:textId="77777777" w:rsidR="00DC01EF" w:rsidRDefault="00DC01EF" w:rsidP="00E57061">
      <w:pPr>
        <w:autoSpaceDE w:val="0"/>
        <w:autoSpaceDN w:val="0"/>
        <w:adjustRightInd w:val="0"/>
        <w:ind w:left="709"/>
        <w:rPr>
          <w:rFonts w:ascii="Arial" w:hAnsi="Arial" w:cs="Arial"/>
          <w:lang w:eastAsia="en-US"/>
        </w:rPr>
      </w:pPr>
      <w:r w:rsidRPr="00DC01EF">
        <w:rPr>
          <w:rFonts w:ascii="Arial" w:hAnsi="Arial" w:cs="Arial"/>
          <w:lang w:eastAsia="en-US"/>
        </w:rPr>
        <w:t>The Fire Authority’s treasury position</w:t>
      </w:r>
      <w:r w:rsidR="00E57061">
        <w:rPr>
          <w:rFonts w:ascii="Arial" w:hAnsi="Arial" w:cs="Arial"/>
          <w:lang w:eastAsia="en-US"/>
        </w:rPr>
        <w:t xml:space="preserve"> as</w:t>
      </w:r>
      <w:r w:rsidRPr="00DC01EF">
        <w:rPr>
          <w:rFonts w:ascii="Arial" w:hAnsi="Arial" w:cs="Arial"/>
          <w:lang w:eastAsia="en-US"/>
        </w:rPr>
        <w:t xml:space="preserve"> at 30 September 201</w:t>
      </w:r>
      <w:r w:rsidR="001D1437">
        <w:rPr>
          <w:rFonts w:ascii="Arial" w:hAnsi="Arial" w:cs="Arial"/>
          <w:lang w:eastAsia="en-US"/>
        </w:rPr>
        <w:t>4</w:t>
      </w:r>
      <w:r w:rsidRPr="00DC01EF">
        <w:rPr>
          <w:rFonts w:ascii="Arial" w:hAnsi="Arial" w:cs="Arial"/>
          <w:lang w:eastAsia="en-US"/>
        </w:rPr>
        <w:t xml:space="preserve"> is set out below</w:t>
      </w:r>
      <w:r w:rsidR="00E57061">
        <w:rPr>
          <w:rFonts w:ascii="Arial" w:hAnsi="Arial" w:cs="Arial"/>
          <w:lang w:eastAsia="en-US"/>
        </w:rPr>
        <w:t xml:space="preserve">, </w:t>
      </w:r>
      <w:r w:rsidRPr="00DC01EF">
        <w:rPr>
          <w:rFonts w:ascii="Arial" w:hAnsi="Arial" w:cs="Arial"/>
          <w:lang w:eastAsia="en-US"/>
        </w:rPr>
        <w:t>with the position as at 31 March 201</w:t>
      </w:r>
      <w:r w:rsidR="001D1437">
        <w:rPr>
          <w:rFonts w:ascii="Arial" w:hAnsi="Arial" w:cs="Arial"/>
          <w:lang w:eastAsia="en-US"/>
        </w:rPr>
        <w:t>4</w:t>
      </w:r>
      <w:r w:rsidRPr="00DC01EF">
        <w:rPr>
          <w:rFonts w:ascii="Arial" w:hAnsi="Arial" w:cs="Arial"/>
          <w:lang w:eastAsia="en-US"/>
        </w:rPr>
        <w:t xml:space="preserve"> in brackets.</w:t>
      </w:r>
    </w:p>
    <w:p w14:paraId="2148D0EA" w14:textId="77777777" w:rsidR="002304D6" w:rsidRPr="002304D6" w:rsidRDefault="002304D6" w:rsidP="00DC01EF">
      <w:pPr>
        <w:autoSpaceDE w:val="0"/>
        <w:autoSpaceDN w:val="0"/>
        <w:adjustRightInd w:val="0"/>
        <w:rPr>
          <w:rFonts w:ascii="Arial" w:hAnsi="Arial" w:cs="Arial"/>
          <w:lang w:eastAsia="en-US"/>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1843"/>
        <w:gridCol w:w="1929"/>
      </w:tblGrid>
      <w:tr w:rsidR="00DC01EF" w14:paraId="2A1EAAF9" w14:textId="77777777" w:rsidTr="0014612A">
        <w:tc>
          <w:tcPr>
            <w:tcW w:w="4678" w:type="dxa"/>
          </w:tcPr>
          <w:p w14:paraId="25E9D093" w14:textId="77777777" w:rsidR="00DC01EF" w:rsidRDefault="00DC01EF" w:rsidP="00DC01EF">
            <w:pPr>
              <w:autoSpaceDE w:val="0"/>
              <w:autoSpaceDN w:val="0"/>
              <w:adjustRightInd w:val="0"/>
              <w:rPr>
                <w:rFonts w:ascii="Arial" w:hAnsi="Arial" w:cs="Arial"/>
                <w:lang w:eastAsia="en-US"/>
              </w:rPr>
            </w:pPr>
          </w:p>
        </w:tc>
        <w:tc>
          <w:tcPr>
            <w:tcW w:w="1843" w:type="dxa"/>
          </w:tcPr>
          <w:p w14:paraId="15F36BD9" w14:textId="77777777" w:rsidR="00DC01EF" w:rsidRPr="00DC01EF" w:rsidRDefault="00DC01EF" w:rsidP="00D8427B">
            <w:pPr>
              <w:autoSpaceDE w:val="0"/>
              <w:autoSpaceDN w:val="0"/>
              <w:adjustRightInd w:val="0"/>
              <w:jc w:val="right"/>
              <w:rPr>
                <w:rFonts w:ascii="Arial" w:hAnsi="Arial" w:cs="Arial"/>
                <w:b/>
                <w:bCs/>
                <w:lang w:eastAsia="en-US"/>
              </w:rPr>
            </w:pPr>
            <w:r w:rsidRPr="00DC01EF">
              <w:rPr>
                <w:rFonts w:ascii="Arial" w:hAnsi="Arial" w:cs="Arial"/>
                <w:b/>
                <w:bCs/>
                <w:lang w:eastAsia="en-US"/>
              </w:rPr>
              <w:t>Balance at</w:t>
            </w:r>
          </w:p>
          <w:p w14:paraId="367D3282" w14:textId="77777777" w:rsidR="00DC01EF" w:rsidRPr="00DC01EF" w:rsidRDefault="00DC01EF" w:rsidP="00D8427B">
            <w:pPr>
              <w:autoSpaceDE w:val="0"/>
              <w:autoSpaceDN w:val="0"/>
              <w:adjustRightInd w:val="0"/>
              <w:jc w:val="right"/>
              <w:rPr>
                <w:rFonts w:ascii="Arial" w:hAnsi="Arial" w:cs="Arial"/>
                <w:b/>
                <w:bCs/>
                <w:lang w:eastAsia="en-US"/>
              </w:rPr>
            </w:pPr>
            <w:r w:rsidRPr="00DC01EF">
              <w:rPr>
                <w:rFonts w:ascii="Arial" w:hAnsi="Arial" w:cs="Arial"/>
                <w:b/>
                <w:bCs/>
                <w:lang w:eastAsia="en-US"/>
              </w:rPr>
              <w:t>30 Sept 201</w:t>
            </w:r>
            <w:r w:rsidR="001D1437">
              <w:rPr>
                <w:rFonts w:ascii="Arial" w:hAnsi="Arial" w:cs="Arial"/>
                <w:b/>
                <w:bCs/>
                <w:lang w:eastAsia="en-US"/>
              </w:rPr>
              <w:t>4</w:t>
            </w:r>
          </w:p>
          <w:p w14:paraId="450A5336" w14:textId="7FB2EFDE" w:rsidR="00DB2231" w:rsidRPr="0014612A" w:rsidRDefault="00DC01EF" w:rsidP="00DB2231">
            <w:pPr>
              <w:autoSpaceDE w:val="0"/>
              <w:autoSpaceDN w:val="0"/>
              <w:adjustRightInd w:val="0"/>
              <w:jc w:val="right"/>
              <w:rPr>
                <w:rFonts w:ascii="Arial" w:hAnsi="Arial" w:cs="Arial"/>
                <w:b/>
                <w:bCs/>
                <w:lang w:eastAsia="en-US"/>
              </w:rPr>
            </w:pPr>
            <w:r w:rsidRPr="00DC01EF">
              <w:rPr>
                <w:rFonts w:ascii="Arial" w:hAnsi="Arial" w:cs="Arial"/>
                <w:b/>
                <w:bCs/>
                <w:lang w:eastAsia="en-US"/>
              </w:rPr>
              <w:t>£000</w:t>
            </w:r>
          </w:p>
        </w:tc>
        <w:tc>
          <w:tcPr>
            <w:tcW w:w="1929" w:type="dxa"/>
          </w:tcPr>
          <w:p w14:paraId="382721C0" w14:textId="77777777" w:rsidR="00D8427B" w:rsidRPr="00DC01EF" w:rsidRDefault="00D8427B" w:rsidP="00D06356">
            <w:pPr>
              <w:autoSpaceDE w:val="0"/>
              <w:autoSpaceDN w:val="0"/>
              <w:adjustRightInd w:val="0"/>
              <w:jc w:val="right"/>
              <w:rPr>
                <w:rFonts w:ascii="Arial" w:hAnsi="Arial" w:cs="Arial"/>
                <w:b/>
                <w:bCs/>
                <w:lang w:eastAsia="en-US"/>
              </w:rPr>
            </w:pPr>
            <w:r w:rsidRPr="00DC01EF">
              <w:rPr>
                <w:rFonts w:ascii="Arial" w:hAnsi="Arial" w:cs="Arial"/>
                <w:b/>
                <w:bCs/>
                <w:lang w:eastAsia="en-US"/>
              </w:rPr>
              <w:t>Interest Rate</w:t>
            </w:r>
            <w:r w:rsidR="00F51096">
              <w:rPr>
                <w:rFonts w:ascii="Arial" w:hAnsi="Arial" w:cs="Arial"/>
                <w:b/>
                <w:bCs/>
                <w:lang w:eastAsia="en-US"/>
              </w:rPr>
              <w:t xml:space="preserve"> </w:t>
            </w:r>
            <w:r w:rsidR="00F51096" w:rsidRPr="00F51096">
              <w:rPr>
                <w:rFonts w:ascii="Arial" w:hAnsi="Arial" w:cs="Arial"/>
                <w:b/>
                <w:bCs/>
                <w:vertAlign w:val="superscript"/>
                <w:lang w:eastAsia="en-US"/>
              </w:rPr>
              <w:t>1</w:t>
            </w:r>
          </w:p>
          <w:p w14:paraId="50468223" w14:textId="77777777" w:rsidR="00D8427B" w:rsidRPr="00DC01EF" w:rsidRDefault="00D8427B" w:rsidP="00D06356">
            <w:pPr>
              <w:autoSpaceDE w:val="0"/>
              <w:autoSpaceDN w:val="0"/>
              <w:adjustRightInd w:val="0"/>
              <w:jc w:val="right"/>
              <w:rPr>
                <w:rFonts w:ascii="Arial" w:hAnsi="Arial" w:cs="Arial"/>
                <w:b/>
                <w:bCs/>
                <w:lang w:eastAsia="en-US"/>
              </w:rPr>
            </w:pPr>
            <w:r>
              <w:rPr>
                <w:rFonts w:ascii="Arial" w:hAnsi="Arial" w:cs="Arial"/>
                <w:b/>
                <w:bCs/>
                <w:lang w:eastAsia="en-US"/>
              </w:rPr>
              <w:t>30 Sept 201</w:t>
            </w:r>
            <w:r w:rsidR="001D1437">
              <w:rPr>
                <w:rFonts w:ascii="Arial" w:hAnsi="Arial" w:cs="Arial"/>
                <w:b/>
                <w:bCs/>
                <w:lang w:eastAsia="en-US"/>
              </w:rPr>
              <w:t>4</w:t>
            </w:r>
          </w:p>
          <w:p w14:paraId="3771F707" w14:textId="1D926AF3" w:rsidR="00DC01EF" w:rsidRPr="0014612A" w:rsidRDefault="00D8427B" w:rsidP="0014612A">
            <w:pPr>
              <w:autoSpaceDE w:val="0"/>
              <w:autoSpaceDN w:val="0"/>
              <w:adjustRightInd w:val="0"/>
              <w:jc w:val="right"/>
              <w:rPr>
                <w:rFonts w:ascii="Arial" w:hAnsi="Arial" w:cs="Arial"/>
                <w:b/>
                <w:bCs/>
                <w:lang w:eastAsia="en-US"/>
              </w:rPr>
            </w:pPr>
            <w:r w:rsidRPr="00DC01EF">
              <w:rPr>
                <w:rFonts w:ascii="Arial" w:hAnsi="Arial" w:cs="Arial"/>
                <w:b/>
                <w:bCs/>
                <w:lang w:eastAsia="en-US"/>
              </w:rPr>
              <w:t>%</w:t>
            </w:r>
          </w:p>
        </w:tc>
      </w:tr>
      <w:tr w:rsidR="00DC01EF" w14:paraId="17CD38AF" w14:textId="77777777" w:rsidTr="0014612A">
        <w:tc>
          <w:tcPr>
            <w:tcW w:w="4678" w:type="dxa"/>
          </w:tcPr>
          <w:p w14:paraId="7591EDB7" w14:textId="77777777" w:rsidR="00D8427B" w:rsidRPr="00E57061" w:rsidRDefault="00D8427B" w:rsidP="00E57061">
            <w:pPr>
              <w:autoSpaceDE w:val="0"/>
              <w:autoSpaceDN w:val="0"/>
              <w:adjustRightInd w:val="0"/>
              <w:ind w:left="459" w:hanging="425"/>
              <w:rPr>
                <w:rFonts w:ascii="Arial" w:hAnsi="Arial" w:cs="Arial"/>
                <w:bCs/>
                <w:lang w:eastAsia="en-US"/>
              </w:rPr>
            </w:pPr>
            <w:r w:rsidRPr="00DB2231">
              <w:rPr>
                <w:rFonts w:ascii="Arial" w:hAnsi="Arial" w:cs="Arial"/>
                <w:b/>
                <w:bCs/>
                <w:lang w:eastAsia="en-US"/>
              </w:rPr>
              <w:t>a)</w:t>
            </w:r>
            <w:r w:rsidRPr="00E57061">
              <w:rPr>
                <w:rFonts w:ascii="Arial" w:hAnsi="Arial" w:cs="Arial"/>
                <w:bCs/>
                <w:lang w:eastAsia="en-US"/>
              </w:rPr>
              <w:t xml:space="preserve"> </w:t>
            </w:r>
            <w:r w:rsidR="00E57061">
              <w:rPr>
                <w:rFonts w:ascii="Arial" w:hAnsi="Arial" w:cs="Arial"/>
                <w:bCs/>
                <w:lang w:eastAsia="en-US"/>
              </w:rPr>
              <w:tab/>
            </w:r>
            <w:r w:rsidRPr="00DB2231">
              <w:rPr>
                <w:rFonts w:ascii="Arial" w:hAnsi="Arial" w:cs="Arial"/>
                <w:b/>
                <w:bCs/>
                <w:lang w:eastAsia="en-US"/>
              </w:rPr>
              <w:t>Outstanding debt for</w:t>
            </w:r>
            <w:r w:rsidR="00E57061" w:rsidRPr="00DB2231">
              <w:rPr>
                <w:rFonts w:ascii="Arial" w:hAnsi="Arial" w:cs="Arial"/>
                <w:b/>
                <w:bCs/>
                <w:lang w:eastAsia="en-US"/>
              </w:rPr>
              <w:t xml:space="preserve"> </w:t>
            </w:r>
            <w:r w:rsidRPr="00DB2231">
              <w:rPr>
                <w:rFonts w:ascii="Arial" w:hAnsi="Arial" w:cs="Arial"/>
                <w:b/>
                <w:bCs/>
                <w:lang w:eastAsia="en-US"/>
              </w:rPr>
              <w:t>capital purposes</w:t>
            </w:r>
            <w:r w:rsidRPr="00E57061">
              <w:rPr>
                <w:rFonts w:ascii="Arial" w:hAnsi="Arial" w:cs="Arial"/>
                <w:lang w:eastAsia="en-US"/>
              </w:rPr>
              <w:t xml:space="preserve"> </w:t>
            </w:r>
          </w:p>
          <w:p w14:paraId="7A598ED2" w14:textId="4B8904E9" w:rsidR="00DB2231" w:rsidRPr="0071686E" w:rsidRDefault="00D8427B" w:rsidP="00DB2231">
            <w:pPr>
              <w:autoSpaceDE w:val="0"/>
              <w:autoSpaceDN w:val="0"/>
              <w:adjustRightInd w:val="0"/>
              <w:ind w:left="459"/>
              <w:rPr>
                <w:rFonts w:ascii="Arial" w:hAnsi="Arial" w:cs="Arial"/>
                <w:lang w:eastAsia="en-US"/>
              </w:rPr>
            </w:pPr>
            <w:r w:rsidRPr="00E57061">
              <w:rPr>
                <w:rFonts w:ascii="Arial" w:hAnsi="Arial" w:cs="Arial"/>
                <w:lang w:eastAsia="en-US"/>
              </w:rPr>
              <w:t>Fixed Rate</w:t>
            </w:r>
          </w:p>
        </w:tc>
        <w:tc>
          <w:tcPr>
            <w:tcW w:w="1843" w:type="dxa"/>
          </w:tcPr>
          <w:p w14:paraId="58C90C8B" w14:textId="77777777" w:rsidR="00DC01EF" w:rsidRPr="00E57061" w:rsidRDefault="00D8427B" w:rsidP="00D8427B">
            <w:pPr>
              <w:autoSpaceDE w:val="0"/>
              <w:autoSpaceDN w:val="0"/>
              <w:adjustRightInd w:val="0"/>
              <w:jc w:val="right"/>
              <w:rPr>
                <w:rFonts w:ascii="Arial" w:hAnsi="Arial" w:cs="Arial"/>
                <w:lang w:eastAsia="en-US"/>
              </w:rPr>
            </w:pPr>
            <w:r w:rsidRPr="00E57061">
              <w:rPr>
                <w:rFonts w:ascii="Arial" w:hAnsi="Arial" w:cs="Arial"/>
                <w:bCs/>
                <w:lang w:eastAsia="en-US"/>
              </w:rPr>
              <w:t>5,810 (5,810)</w:t>
            </w:r>
          </w:p>
        </w:tc>
        <w:tc>
          <w:tcPr>
            <w:tcW w:w="1929" w:type="dxa"/>
          </w:tcPr>
          <w:p w14:paraId="33F30CE2" w14:textId="77777777" w:rsidR="00D8427B" w:rsidRPr="00E57061" w:rsidRDefault="00D8427B" w:rsidP="00D8427B">
            <w:pPr>
              <w:autoSpaceDE w:val="0"/>
              <w:autoSpaceDN w:val="0"/>
              <w:adjustRightInd w:val="0"/>
              <w:jc w:val="right"/>
              <w:rPr>
                <w:rFonts w:ascii="Arial" w:hAnsi="Arial" w:cs="Arial"/>
                <w:bCs/>
                <w:lang w:eastAsia="en-US"/>
              </w:rPr>
            </w:pPr>
            <w:r w:rsidRPr="00E57061">
              <w:rPr>
                <w:rFonts w:ascii="Arial" w:hAnsi="Arial" w:cs="Arial"/>
                <w:bCs/>
                <w:lang w:eastAsia="en-US"/>
              </w:rPr>
              <w:t>4.49 (4.49)</w:t>
            </w:r>
          </w:p>
          <w:p w14:paraId="0E421285" w14:textId="77777777" w:rsidR="00DC01EF" w:rsidRPr="00E57061" w:rsidRDefault="00DC01EF" w:rsidP="00D8427B">
            <w:pPr>
              <w:autoSpaceDE w:val="0"/>
              <w:autoSpaceDN w:val="0"/>
              <w:adjustRightInd w:val="0"/>
              <w:jc w:val="right"/>
              <w:rPr>
                <w:rFonts w:ascii="Arial" w:hAnsi="Arial" w:cs="Arial"/>
                <w:lang w:eastAsia="en-US"/>
              </w:rPr>
            </w:pPr>
          </w:p>
        </w:tc>
      </w:tr>
      <w:tr w:rsidR="00DC01EF" w14:paraId="68DC3994" w14:textId="77777777" w:rsidTr="0014612A">
        <w:tc>
          <w:tcPr>
            <w:tcW w:w="4678" w:type="dxa"/>
          </w:tcPr>
          <w:p w14:paraId="3704462D" w14:textId="77777777" w:rsidR="00D8427B" w:rsidRPr="00DB2231" w:rsidRDefault="00D8427B" w:rsidP="00E57061">
            <w:pPr>
              <w:autoSpaceDE w:val="0"/>
              <w:autoSpaceDN w:val="0"/>
              <w:adjustRightInd w:val="0"/>
              <w:ind w:left="459" w:hanging="459"/>
              <w:rPr>
                <w:rFonts w:ascii="Arial" w:hAnsi="Arial" w:cs="Arial"/>
                <w:b/>
                <w:bCs/>
                <w:lang w:eastAsia="en-US"/>
              </w:rPr>
            </w:pPr>
            <w:r w:rsidRPr="00DB2231">
              <w:rPr>
                <w:rFonts w:ascii="Arial" w:hAnsi="Arial" w:cs="Arial"/>
                <w:b/>
                <w:bCs/>
                <w:lang w:eastAsia="en-US"/>
              </w:rPr>
              <w:t>b)</w:t>
            </w:r>
            <w:r w:rsidRPr="00E57061">
              <w:rPr>
                <w:rFonts w:ascii="Arial" w:hAnsi="Arial" w:cs="Arial"/>
                <w:bCs/>
                <w:lang w:eastAsia="en-US"/>
              </w:rPr>
              <w:t xml:space="preserve"> </w:t>
            </w:r>
            <w:r w:rsidR="00E57061">
              <w:rPr>
                <w:rFonts w:ascii="Arial" w:hAnsi="Arial" w:cs="Arial"/>
                <w:bCs/>
                <w:lang w:eastAsia="en-US"/>
              </w:rPr>
              <w:tab/>
            </w:r>
            <w:r w:rsidRPr="00DB2231">
              <w:rPr>
                <w:rFonts w:ascii="Arial" w:hAnsi="Arial" w:cs="Arial"/>
                <w:b/>
                <w:bCs/>
                <w:lang w:eastAsia="en-US"/>
              </w:rPr>
              <w:t>Investments</w:t>
            </w:r>
          </w:p>
          <w:p w14:paraId="3A04F375" w14:textId="5A0136CD" w:rsidR="00DC01EF" w:rsidRPr="00D7657F" w:rsidRDefault="00DB2231" w:rsidP="00D7657F">
            <w:pPr>
              <w:autoSpaceDE w:val="0"/>
              <w:autoSpaceDN w:val="0"/>
              <w:adjustRightInd w:val="0"/>
              <w:ind w:left="601" w:hanging="142"/>
              <w:rPr>
                <w:rFonts w:ascii="Arial" w:hAnsi="Arial" w:cs="Arial"/>
                <w:bCs/>
                <w:lang w:eastAsia="en-US"/>
              </w:rPr>
            </w:pPr>
            <w:r>
              <w:rPr>
                <w:rFonts w:ascii="Arial" w:hAnsi="Arial" w:cs="Arial"/>
                <w:lang w:eastAsia="en-US"/>
              </w:rPr>
              <w:t>SC</w:t>
            </w:r>
            <w:r w:rsidR="00D8427B" w:rsidRPr="00E57061">
              <w:rPr>
                <w:rFonts w:ascii="Arial" w:hAnsi="Arial" w:cs="Arial"/>
                <w:lang w:eastAsia="en-US"/>
              </w:rPr>
              <w:t xml:space="preserve"> Treasury Team</w:t>
            </w:r>
          </w:p>
        </w:tc>
        <w:tc>
          <w:tcPr>
            <w:tcW w:w="1843" w:type="dxa"/>
          </w:tcPr>
          <w:p w14:paraId="6AFC9170" w14:textId="77777777" w:rsidR="00DC01EF" w:rsidRPr="00E57061" w:rsidRDefault="001D1437" w:rsidP="0089249A">
            <w:pPr>
              <w:autoSpaceDE w:val="0"/>
              <w:autoSpaceDN w:val="0"/>
              <w:adjustRightInd w:val="0"/>
              <w:jc w:val="right"/>
              <w:rPr>
                <w:rFonts w:ascii="Arial" w:hAnsi="Arial" w:cs="Arial"/>
                <w:lang w:eastAsia="en-US"/>
              </w:rPr>
            </w:pPr>
            <w:r>
              <w:rPr>
                <w:rFonts w:ascii="Arial" w:hAnsi="Arial" w:cs="Arial"/>
                <w:bCs/>
                <w:lang w:eastAsia="en-US"/>
              </w:rPr>
              <w:t>18,070</w:t>
            </w:r>
            <w:r w:rsidR="00E57061">
              <w:rPr>
                <w:rFonts w:ascii="Arial" w:hAnsi="Arial" w:cs="Arial"/>
                <w:bCs/>
                <w:lang w:eastAsia="en-US"/>
              </w:rPr>
              <w:t xml:space="preserve"> </w:t>
            </w:r>
            <w:r w:rsidR="00D8427B" w:rsidRPr="00E57061">
              <w:rPr>
                <w:rFonts w:ascii="Arial" w:hAnsi="Arial" w:cs="Arial"/>
                <w:bCs/>
                <w:lang w:eastAsia="en-US"/>
              </w:rPr>
              <w:t>(</w:t>
            </w:r>
            <w:r>
              <w:rPr>
                <w:rFonts w:ascii="Arial" w:hAnsi="Arial" w:cs="Arial"/>
                <w:bCs/>
                <w:lang w:eastAsia="en-US"/>
              </w:rPr>
              <w:t>1</w:t>
            </w:r>
            <w:r w:rsidR="0089249A">
              <w:rPr>
                <w:rFonts w:ascii="Arial" w:hAnsi="Arial" w:cs="Arial"/>
                <w:bCs/>
                <w:lang w:eastAsia="en-US"/>
              </w:rPr>
              <w:t>2,640</w:t>
            </w:r>
            <w:r w:rsidR="00D8427B" w:rsidRPr="00E57061">
              <w:rPr>
                <w:rFonts w:ascii="Arial" w:hAnsi="Arial" w:cs="Arial"/>
                <w:bCs/>
                <w:lang w:eastAsia="en-US"/>
              </w:rPr>
              <w:t>)</w:t>
            </w:r>
          </w:p>
        </w:tc>
        <w:tc>
          <w:tcPr>
            <w:tcW w:w="1929" w:type="dxa"/>
          </w:tcPr>
          <w:p w14:paraId="76646FE4" w14:textId="77777777" w:rsidR="00D8427B" w:rsidRPr="00E57061" w:rsidRDefault="001D1437" w:rsidP="00D8427B">
            <w:pPr>
              <w:autoSpaceDE w:val="0"/>
              <w:autoSpaceDN w:val="0"/>
              <w:adjustRightInd w:val="0"/>
              <w:jc w:val="right"/>
              <w:rPr>
                <w:rFonts w:ascii="Arial" w:hAnsi="Arial" w:cs="Arial"/>
                <w:bCs/>
                <w:lang w:eastAsia="en-US"/>
              </w:rPr>
            </w:pPr>
            <w:r>
              <w:rPr>
                <w:rFonts w:ascii="Arial" w:hAnsi="Arial" w:cs="Arial"/>
                <w:bCs/>
                <w:lang w:eastAsia="en-US"/>
              </w:rPr>
              <w:t>0.36</w:t>
            </w:r>
            <w:r w:rsidR="00D8427B" w:rsidRPr="00E57061">
              <w:rPr>
                <w:rFonts w:ascii="Arial" w:hAnsi="Arial" w:cs="Arial"/>
                <w:bCs/>
                <w:lang w:eastAsia="en-US"/>
              </w:rPr>
              <w:t xml:space="preserve"> (0</w:t>
            </w:r>
            <w:r>
              <w:rPr>
                <w:rFonts w:ascii="Arial" w:hAnsi="Arial" w:cs="Arial"/>
                <w:bCs/>
                <w:lang w:eastAsia="en-US"/>
              </w:rPr>
              <w:t>.</w:t>
            </w:r>
            <w:r w:rsidR="0089249A">
              <w:rPr>
                <w:rFonts w:ascii="Arial" w:hAnsi="Arial" w:cs="Arial"/>
                <w:bCs/>
                <w:lang w:eastAsia="en-US"/>
              </w:rPr>
              <w:t>32</w:t>
            </w:r>
            <w:r w:rsidR="00D8427B" w:rsidRPr="00E57061">
              <w:rPr>
                <w:rFonts w:ascii="Arial" w:hAnsi="Arial" w:cs="Arial"/>
                <w:bCs/>
                <w:lang w:eastAsia="en-US"/>
              </w:rPr>
              <w:t>)</w:t>
            </w:r>
          </w:p>
          <w:p w14:paraId="062587ED" w14:textId="77777777" w:rsidR="00DC01EF" w:rsidRPr="00E57061" w:rsidRDefault="00DC01EF" w:rsidP="00D8427B">
            <w:pPr>
              <w:autoSpaceDE w:val="0"/>
              <w:autoSpaceDN w:val="0"/>
              <w:adjustRightInd w:val="0"/>
              <w:jc w:val="right"/>
              <w:rPr>
                <w:rFonts w:ascii="Arial" w:hAnsi="Arial" w:cs="Arial"/>
                <w:lang w:eastAsia="en-US"/>
              </w:rPr>
            </w:pPr>
          </w:p>
        </w:tc>
      </w:tr>
    </w:tbl>
    <w:p w14:paraId="37FF8371" w14:textId="77777777" w:rsidR="00DB2231" w:rsidRDefault="00DB2231" w:rsidP="00935DF4">
      <w:pPr>
        <w:autoSpaceDE w:val="0"/>
        <w:autoSpaceDN w:val="0"/>
        <w:adjustRightInd w:val="0"/>
        <w:ind w:firstLine="720"/>
        <w:rPr>
          <w:rFonts w:ascii="Arial" w:hAnsi="Arial" w:cs="Arial"/>
          <w:b/>
          <w:bCs/>
          <w:lang w:eastAsia="en-US"/>
        </w:rPr>
      </w:pPr>
    </w:p>
    <w:p w14:paraId="6399E297" w14:textId="77777777" w:rsidR="00F51096" w:rsidRDefault="00DC01EF" w:rsidP="00935DF4">
      <w:pPr>
        <w:autoSpaceDE w:val="0"/>
        <w:autoSpaceDN w:val="0"/>
        <w:adjustRightInd w:val="0"/>
        <w:ind w:firstLine="720"/>
        <w:rPr>
          <w:rFonts w:ascii="Arial" w:hAnsi="Arial" w:cs="Arial"/>
          <w:lang w:eastAsia="en-US"/>
        </w:rPr>
      </w:pPr>
      <w:r w:rsidRPr="00DC01EF">
        <w:rPr>
          <w:rFonts w:ascii="Arial" w:hAnsi="Arial" w:cs="Arial"/>
          <w:b/>
          <w:bCs/>
          <w:lang w:eastAsia="en-US"/>
        </w:rPr>
        <w:t>Note</w:t>
      </w:r>
      <w:r w:rsidR="00F51096">
        <w:rPr>
          <w:rFonts w:ascii="Arial" w:hAnsi="Arial" w:cs="Arial"/>
          <w:b/>
          <w:bCs/>
          <w:lang w:eastAsia="en-US"/>
        </w:rPr>
        <w:t xml:space="preserve"> </w:t>
      </w:r>
      <w:r w:rsidRPr="00DC01EF">
        <w:rPr>
          <w:rFonts w:ascii="Arial" w:hAnsi="Arial" w:cs="Arial"/>
          <w:b/>
          <w:bCs/>
          <w:lang w:eastAsia="en-US"/>
        </w:rPr>
        <w:t>1</w:t>
      </w:r>
    </w:p>
    <w:p w14:paraId="2196B66A" w14:textId="77777777" w:rsidR="00DC01EF" w:rsidRPr="00DC01EF" w:rsidRDefault="00DC01EF" w:rsidP="00935DF4">
      <w:pPr>
        <w:autoSpaceDE w:val="0"/>
        <w:autoSpaceDN w:val="0"/>
        <w:adjustRightInd w:val="0"/>
        <w:ind w:firstLine="720"/>
        <w:rPr>
          <w:rFonts w:ascii="Arial" w:hAnsi="Arial" w:cs="Arial"/>
          <w:lang w:eastAsia="en-US"/>
        </w:rPr>
      </w:pPr>
      <w:r w:rsidRPr="00DC01EF">
        <w:rPr>
          <w:rFonts w:ascii="Arial" w:hAnsi="Arial" w:cs="Arial"/>
          <w:lang w:eastAsia="en-US"/>
        </w:rPr>
        <w:t>The interest rates shown represent:</w:t>
      </w:r>
    </w:p>
    <w:p w14:paraId="2DE0C824" w14:textId="181E05AB" w:rsidR="00DC01EF" w:rsidRPr="00DC01EF" w:rsidRDefault="00DB2231" w:rsidP="00DB2231">
      <w:pPr>
        <w:autoSpaceDE w:val="0"/>
        <w:autoSpaceDN w:val="0"/>
        <w:adjustRightInd w:val="0"/>
        <w:ind w:left="1276" w:hanging="567"/>
        <w:rPr>
          <w:rFonts w:ascii="Arial" w:hAnsi="Arial" w:cs="Arial"/>
          <w:lang w:eastAsia="en-US"/>
        </w:rPr>
      </w:pPr>
      <w:r>
        <w:rPr>
          <w:rFonts w:ascii="Arial" w:hAnsi="Arial" w:cs="Arial"/>
          <w:lang w:eastAsia="en-US"/>
        </w:rPr>
        <w:t xml:space="preserve">a) </w:t>
      </w:r>
      <w:r>
        <w:rPr>
          <w:rFonts w:ascii="Arial" w:hAnsi="Arial" w:cs="Arial"/>
          <w:lang w:eastAsia="en-US"/>
        </w:rPr>
        <w:tab/>
        <w:t>T</w:t>
      </w:r>
      <w:r w:rsidR="00DC01EF" w:rsidRPr="00DC01EF">
        <w:rPr>
          <w:rFonts w:ascii="Arial" w:hAnsi="Arial" w:cs="Arial"/>
          <w:lang w:eastAsia="en-US"/>
        </w:rPr>
        <w:t>he average cost of the debt portfolio; and</w:t>
      </w:r>
      <w:r w:rsidR="00966D89">
        <w:rPr>
          <w:rFonts w:ascii="Arial" w:hAnsi="Arial" w:cs="Arial"/>
          <w:lang w:eastAsia="en-US"/>
        </w:rPr>
        <w:t xml:space="preserve"> </w:t>
      </w:r>
    </w:p>
    <w:p w14:paraId="236AD96F" w14:textId="7F05AA28" w:rsidR="00DC01EF" w:rsidRDefault="00DC01EF" w:rsidP="00DB2231">
      <w:pPr>
        <w:autoSpaceDE w:val="0"/>
        <w:autoSpaceDN w:val="0"/>
        <w:adjustRightInd w:val="0"/>
        <w:ind w:left="1276" w:hanging="567"/>
        <w:rPr>
          <w:rFonts w:ascii="Arial" w:hAnsi="Arial" w:cs="Arial"/>
          <w:lang w:eastAsia="en-US"/>
        </w:rPr>
      </w:pPr>
      <w:r w:rsidRPr="00DC01EF">
        <w:rPr>
          <w:rFonts w:ascii="Arial" w:hAnsi="Arial" w:cs="Arial"/>
          <w:lang w:eastAsia="en-US"/>
        </w:rPr>
        <w:t xml:space="preserve">b) </w:t>
      </w:r>
      <w:r w:rsidR="00DB2231">
        <w:rPr>
          <w:rFonts w:ascii="Arial" w:hAnsi="Arial" w:cs="Arial"/>
          <w:lang w:eastAsia="en-US"/>
        </w:rPr>
        <w:tab/>
        <w:t>T</w:t>
      </w:r>
      <w:r w:rsidRPr="00DC01EF">
        <w:rPr>
          <w:rFonts w:ascii="Arial" w:hAnsi="Arial" w:cs="Arial"/>
          <w:lang w:eastAsia="en-US"/>
        </w:rPr>
        <w:t>he average return on cash investments during the year.</w:t>
      </w:r>
    </w:p>
    <w:p w14:paraId="55242E52" w14:textId="77777777" w:rsidR="001D1437" w:rsidRPr="00DC01EF" w:rsidRDefault="001D1437" w:rsidP="00935DF4">
      <w:pPr>
        <w:autoSpaceDE w:val="0"/>
        <w:autoSpaceDN w:val="0"/>
        <w:adjustRightInd w:val="0"/>
        <w:ind w:firstLine="720"/>
        <w:rPr>
          <w:rFonts w:ascii="Arial" w:hAnsi="Arial" w:cs="Arial"/>
          <w:lang w:eastAsia="en-US"/>
        </w:rPr>
      </w:pPr>
    </w:p>
    <w:p w14:paraId="6811E610" w14:textId="77777777" w:rsidR="00DC01EF" w:rsidRPr="00DC01EF" w:rsidRDefault="00DC01EF" w:rsidP="00935DF4">
      <w:pPr>
        <w:autoSpaceDE w:val="0"/>
        <w:autoSpaceDN w:val="0"/>
        <w:adjustRightInd w:val="0"/>
        <w:ind w:firstLine="720"/>
        <w:rPr>
          <w:rFonts w:ascii="Arial" w:hAnsi="Arial" w:cs="Arial"/>
          <w:b/>
          <w:bCs/>
          <w:lang w:eastAsia="en-US"/>
        </w:rPr>
      </w:pPr>
      <w:r w:rsidRPr="00DC01EF">
        <w:rPr>
          <w:rFonts w:ascii="Arial" w:hAnsi="Arial" w:cs="Arial"/>
          <w:b/>
          <w:bCs/>
          <w:lang w:eastAsia="en-US"/>
        </w:rPr>
        <w:t>Borrowing</w:t>
      </w:r>
    </w:p>
    <w:p w14:paraId="11B3F1B2" w14:textId="77777777" w:rsidR="00F51096" w:rsidRDefault="00F51096" w:rsidP="00935DF4">
      <w:pPr>
        <w:autoSpaceDE w:val="0"/>
        <w:autoSpaceDN w:val="0"/>
        <w:adjustRightInd w:val="0"/>
        <w:ind w:firstLine="720"/>
        <w:rPr>
          <w:rFonts w:ascii="Arial" w:hAnsi="Arial" w:cs="Arial"/>
          <w:lang w:eastAsia="en-US"/>
        </w:rPr>
      </w:pPr>
    </w:p>
    <w:p w14:paraId="3F4BF322" w14:textId="77777777" w:rsidR="00F51096" w:rsidRDefault="00DC01EF" w:rsidP="00F51096">
      <w:pPr>
        <w:autoSpaceDE w:val="0"/>
        <w:autoSpaceDN w:val="0"/>
        <w:adjustRightInd w:val="0"/>
        <w:ind w:left="709" w:firstLine="11"/>
        <w:rPr>
          <w:rFonts w:ascii="Arial" w:hAnsi="Arial" w:cs="Arial"/>
          <w:lang w:eastAsia="en-US"/>
        </w:rPr>
      </w:pPr>
      <w:r w:rsidRPr="00CE1418">
        <w:rPr>
          <w:rFonts w:ascii="Arial" w:hAnsi="Arial" w:cs="Arial"/>
          <w:lang w:eastAsia="en-US"/>
        </w:rPr>
        <w:t xml:space="preserve">The Fire Authority’s approach to borrowing </w:t>
      </w:r>
      <w:r w:rsidR="00CE1418" w:rsidRPr="00CE1418">
        <w:rPr>
          <w:rFonts w:ascii="Arial" w:hAnsi="Arial" w:cs="Arial"/>
          <w:lang w:eastAsia="en-US"/>
        </w:rPr>
        <w:t>continues</w:t>
      </w:r>
      <w:r w:rsidRPr="00CE1418">
        <w:rPr>
          <w:rFonts w:ascii="Arial" w:hAnsi="Arial" w:cs="Arial"/>
          <w:lang w:eastAsia="en-US"/>
        </w:rPr>
        <w:t xml:space="preserve"> to be the use of</w:t>
      </w:r>
      <w:r w:rsidR="00F51096">
        <w:rPr>
          <w:rFonts w:ascii="Arial" w:hAnsi="Arial" w:cs="Arial"/>
          <w:lang w:eastAsia="en-US"/>
        </w:rPr>
        <w:t xml:space="preserve"> </w:t>
      </w:r>
      <w:r w:rsidRPr="00CE1418">
        <w:rPr>
          <w:rFonts w:ascii="Arial" w:hAnsi="Arial" w:cs="Arial"/>
          <w:lang w:eastAsia="en-US"/>
        </w:rPr>
        <w:t>cash balances to finance new capital expenditure, so as to run down cash</w:t>
      </w:r>
      <w:r w:rsidR="00F51096">
        <w:rPr>
          <w:rFonts w:ascii="Arial" w:hAnsi="Arial" w:cs="Arial"/>
          <w:lang w:eastAsia="en-US"/>
        </w:rPr>
        <w:t xml:space="preserve"> </w:t>
      </w:r>
      <w:r w:rsidRPr="00CE1418">
        <w:rPr>
          <w:rFonts w:ascii="Arial" w:hAnsi="Arial" w:cs="Arial"/>
          <w:lang w:eastAsia="en-US"/>
        </w:rPr>
        <w:t xml:space="preserve">balances and minimise counterparty risk incurred on investments. </w:t>
      </w:r>
      <w:r w:rsidR="00F51096">
        <w:rPr>
          <w:rFonts w:ascii="Arial" w:hAnsi="Arial" w:cs="Arial"/>
          <w:lang w:eastAsia="en-US"/>
        </w:rPr>
        <w:t xml:space="preserve"> </w:t>
      </w:r>
      <w:r w:rsidR="00CE1418" w:rsidRPr="00CE1418">
        <w:rPr>
          <w:rFonts w:ascii="Arial" w:hAnsi="Arial" w:cs="Arial"/>
          <w:lang w:eastAsia="en-US"/>
        </w:rPr>
        <w:t>T</w:t>
      </w:r>
      <w:r w:rsidRPr="00CE1418">
        <w:rPr>
          <w:rFonts w:ascii="Arial" w:hAnsi="Arial" w:cs="Arial"/>
          <w:lang w:eastAsia="en-US"/>
        </w:rPr>
        <w:t>he Fire Authority agreed to use surplus revenue balances to</w:t>
      </w:r>
      <w:r w:rsidR="00CE1418" w:rsidRPr="00CE1418">
        <w:rPr>
          <w:rFonts w:ascii="Arial" w:hAnsi="Arial" w:cs="Arial"/>
          <w:lang w:eastAsia="en-US"/>
        </w:rPr>
        <w:t xml:space="preserve"> </w:t>
      </w:r>
      <w:r w:rsidRPr="00CE1418">
        <w:rPr>
          <w:rFonts w:ascii="Arial" w:hAnsi="Arial" w:cs="Arial"/>
          <w:lang w:eastAsia="en-US"/>
        </w:rPr>
        <w:t>f</w:t>
      </w:r>
      <w:r w:rsidR="00E3014B">
        <w:rPr>
          <w:rFonts w:ascii="Arial" w:hAnsi="Arial" w:cs="Arial"/>
          <w:lang w:eastAsia="en-US"/>
        </w:rPr>
        <w:t xml:space="preserve">und capital schemes, in order to </w:t>
      </w:r>
      <w:r w:rsidRPr="00CE1418">
        <w:rPr>
          <w:rFonts w:ascii="Arial" w:hAnsi="Arial" w:cs="Arial"/>
          <w:lang w:eastAsia="en-US"/>
        </w:rPr>
        <w:t>maximise revenue savings in debt charges.</w:t>
      </w:r>
      <w:r w:rsidR="00F51096">
        <w:rPr>
          <w:rFonts w:ascii="Arial" w:hAnsi="Arial" w:cs="Arial"/>
          <w:lang w:eastAsia="en-US"/>
        </w:rPr>
        <w:t xml:space="preserve">  </w:t>
      </w:r>
      <w:r w:rsidRPr="00CE1418">
        <w:rPr>
          <w:rFonts w:ascii="Arial" w:hAnsi="Arial" w:cs="Arial"/>
          <w:lang w:eastAsia="en-US"/>
        </w:rPr>
        <w:t xml:space="preserve">Therefore, any new borrowing over the next few years </w:t>
      </w:r>
      <w:r w:rsidR="00CE1418" w:rsidRPr="00CE1418">
        <w:rPr>
          <w:rFonts w:ascii="Arial" w:hAnsi="Arial" w:cs="Arial"/>
          <w:lang w:eastAsia="en-US"/>
        </w:rPr>
        <w:t xml:space="preserve">continues to be </w:t>
      </w:r>
      <w:r w:rsidRPr="00CE1418">
        <w:rPr>
          <w:rFonts w:ascii="Arial" w:hAnsi="Arial" w:cs="Arial"/>
          <w:lang w:eastAsia="en-US"/>
        </w:rPr>
        <w:t>unlikely, and lower</w:t>
      </w:r>
      <w:r w:rsidR="00CE1418" w:rsidRPr="00CE1418">
        <w:rPr>
          <w:rFonts w:ascii="Arial" w:hAnsi="Arial" w:cs="Arial"/>
          <w:lang w:eastAsia="en-US"/>
        </w:rPr>
        <w:t xml:space="preserve"> </w:t>
      </w:r>
      <w:r w:rsidRPr="00CE1418">
        <w:rPr>
          <w:rFonts w:ascii="Arial" w:hAnsi="Arial" w:cs="Arial"/>
          <w:lang w:eastAsia="en-US"/>
        </w:rPr>
        <w:t>levels of cash will be available for investment.</w:t>
      </w:r>
    </w:p>
    <w:p w14:paraId="5FBB4567" w14:textId="77777777" w:rsidR="00F51096" w:rsidRDefault="00F51096" w:rsidP="00F51096">
      <w:pPr>
        <w:autoSpaceDE w:val="0"/>
        <w:autoSpaceDN w:val="0"/>
        <w:adjustRightInd w:val="0"/>
        <w:ind w:left="709" w:firstLine="11"/>
        <w:rPr>
          <w:rFonts w:ascii="Arial" w:hAnsi="Arial" w:cs="Arial"/>
          <w:lang w:eastAsia="en-US"/>
        </w:rPr>
      </w:pPr>
    </w:p>
    <w:p w14:paraId="2E626965" w14:textId="77777777" w:rsidR="00DC01EF" w:rsidRDefault="00CE1418" w:rsidP="00F51096">
      <w:pPr>
        <w:autoSpaceDE w:val="0"/>
        <w:autoSpaceDN w:val="0"/>
        <w:adjustRightInd w:val="0"/>
        <w:ind w:left="709" w:firstLine="11"/>
        <w:rPr>
          <w:rFonts w:ascii="Arial" w:hAnsi="Arial" w:cs="Arial"/>
          <w:lang w:eastAsia="en-US"/>
        </w:rPr>
      </w:pPr>
      <w:r w:rsidRPr="00CE1418">
        <w:rPr>
          <w:rFonts w:ascii="Arial" w:hAnsi="Arial" w:cs="Arial"/>
          <w:lang w:eastAsia="en-US"/>
        </w:rPr>
        <w:t>N</w:t>
      </w:r>
      <w:r w:rsidR="00DC01EF" w:rsidRPr="00CE1418">
        <w:rPr>
          <w:rFonts w:ascii="Arial" w:hAnsi="Arial" w:cs="Arial"/>
          <w:lang w:eastAsia="en-US"/>
        </w:rPr>
        <w:t>o new borrowing has been entered into during</w:t>
      </w:r>
      <w:r w:rsidRPr="00CE1418">
        <w:rPr>
          <w:rFonts w:ascii="Arial" w:hAnsi="Arial" w:cs="Arial"/>
          <w:lang w:eastAsia="en-US"/>
        </w:rPr>
        <w:t xml:space="preserve"> </w:t>
      </w:r>
      <w:r w:rsidR="00DC01EF" w:rsidRPr="00CE1418">
        <w:rPr>
          <w:rFonts w:ascii="Arial" w:hAnsi="Arial" w:cs="Arial"/>
          <w:lang w:eastAsia="en-US"/>
        </w:rPr>
        <w:t>the first half of 201</w:t>
      </w:r>
      <w:r w:rsidR="001D1437">
        <w:rPr>
          <w:rFonts w:ascii="Arial" w:hAnsi="Arial" w:cs="Arial"/>
          <w:lang w:eastAsia="en-US"/>
        </w:rPr>
        <w:t>4</w:t>
      </w:r>
      <w:r w:rsidR="00DC01EF" w:rsidRPr="00CE1418">
        <w:rPr>
          <w:rFonts w:ascii="Arial" w:hAnsi="Arial" w:cs="Arial"/>
          <w:lang w:eastAsia="en-US"/>
        </w:rPr>
        <w:t>/1</w:t>
      </w:r>
      <w:r w:rsidR="001D1437">
        <w:rPr>
          <w:rFonts w:ascii="Arial" w:hAnsi="Arial" w:cs="Arial"/>
          <w:lang w:eastAsia="en-US"/>
        </w:rPr>
        <w:t>5</w:t>
      </w:r>
      <w:r w:rsidR="00DC01EF" w:rsidRPr="00CE1418">
        <w:rPr>
          <w:rFonts w:ascii="Arial" w:hAnsi="Arial" w:cs="Arial"/>
          <w:lang w:eastAsia="en-US"/>
        </w:rPr>
        <w:t>, and the average borrowing rate for the total portfolio</w:t>
      </w:r>
      <w:r w:rsidRPr="00CE1418">
        <w:rPr>
          <w:rFonts w:ascii="Arial" w:hAnsi="Arial" w:cs="Arial"/>
          <w:lang w:eastAsia="en-US"/>
        </w:rPr>
        <w:t xml:space="preserve"> remains</w:t>
      </w:r>
      <w:r w:rsidR="00DC01EF" w:rsidRPr="00CE1418">
        <w:rPr>
          <w:rFonts w:ascii="Arial" w:hAnsi="Arial" w:cs="Arial"/>
          <w:lang w:eastAsia="en-US"/>
        </w:rPr>
        <w:t xml:space="preserve"> at 4.49%.</w:t>
      </w:r>
      <w:r w:rsidR="00F51096">
        <w:rPr>
          <w:rFonts w:ascii="Arial" w:hAnsi="Arial" w:cs="Arial"/>
          <w:lang w:eastAsia="en-US"/>
        </w:rPr>
        <w:t xml:space="preserve">  </w:t>
      </w:r>
      <w:r w:rsidR="00DC01EF" w:rsidRPr="00CE1418">
        <w:rPr>
          <w:rFonts w:ascii="Arial" w:hAnsi="Arial" w:cs="Arial"/>
          <w:lang w:eastAsia="en-US"/>
        </w:rPr>
        <w:t>The Authority’s Treasury Strategy allows up to 30% of the total outstanding</w:t>
      </w:r>
      <w:r w:rsidR="00F51096">
        <w:rPr>
          <w:rFonts w:ascii="Arial" w:hAnsi="Arial" w:cs="Arial"/>
          <w:lang w:eastAsia="en-US"/>
        </w:rPr>
        <w:t xml:space="preserve"> </w:t>
      </w:r>
      <w:r w:rsidR="00DC01EF" w:rsidRPr="00CE1418">
        <w:rPr>
          <w:rFonts w:ascii="Arial" w:hAnsi="Arial" w:cs="Arial"/>
          <w:lang w:eastAsia="en-US"/>
        </w:rPr>
        <w:t>debt to mature in periods up to 10 years.</w:t>
      </w:r>
      <w:r w:rsidR="00F51096">
        <w:rPr>
          <w:rFonts w:ascii="Arial" w:hAnsi="Arial" w:cs="Arial"/>
          <w:lang w:eastAsia="en-US"/>
        </w:rPr>
        <w:t xml:space="preserve"> </w:t>
      </w:r>
      <w:r w:rsidR="00DC01EF" w:rsidRPr="00CE1418">
        <w:rPr>
          <w:rFonts w:ascii="Arial" w:hAnsi="Arial" w:cs="Arial"/>
          <w:lang w:eastAsia="en-US"/>
        </w:rPr>
        <w:t xml:space="preserve"> It is prudent to have the Authority’s</w:t>
      </w:r>
      <w:r w:rsidR="00F51096">
        <w:rPr>
          <w:rFonts w:ascii="Arial" w:hAnsi="Arial" w:cs="Arial"/>
          <w:lang w:eastAsia="en-US"/>
        </w:rPr>
        <w:t xml:space="preserve"> </w:t>
      </w:r>
      <w:r w:rsidR="00DC01EF" w:rsidRPr="00CE1418">
        <w:rPr>
          <w:rFonts w:ascii="Arial" w:hAnsi="Arial" w:cs="Arial"/>
          <w:lang w:eastAsia="en-US"/>
        </w:rPr>
        <w:t>debt maturing over many years</w:t>
      </w:r>
      <w:r w:rsidR="00F51096">
        <w:rPr>
          <w:rFonts w:ascii="Arial" w:hAnsi="Arial" w:cs="Arial"/>
          <w:lang w:eastAsia="en-US"/>
        </w:rPr>
        <w:t>,</w:t>
      </w:r>
      <w:r w:rsidR="00DC01EF" w:rsidRPr="00CE1418">
        <w:rPr>
          <w:rFonts w:ascii="Arial" w:hAnsi="Arial" w:cs="Arial"/>
          <w:lang w:eastAsia="en-US"/>
        </w:rPr>
        <w:t xml:space="preserve"> so as to minimise the risk of having to refinance</w:t>
      </w:r>
      <w:r w:rsidR="00935DF4">
        <w:rPr>
          <w:rFonts w:ascii="Arial" w:hAnsi="Arial" w:cs="Arial"/>
          <w:lang w:eastAsia="en-US"/>
        </w:rPr>
        <w:t xml:space="preserve"> </w:t>
      </w:r>
      <w:r w:rsidR="00DC01EF" w:rsidRPr="00CE1418">
        <w:rPr>
          <w:rFonts w:ascii="Arial" w:hAnsi="Arial" w:cs="Arial"/>
          <w:lang w:eastAsia="en-US"/>
        </w:rPr>
        <w:t xml:space="preserve">when interest rates may be high. </w:t>
      </w:r>
      <w:r w:rsidR="00F51096">
        <w:rPr>
          <w:rFonts w:ascii="Arial" w:hAnsi="Arial" w:cs="Arial"/>
          <w:lang w:eastAsia="en-US"/>
        </w:rPr>
        <w:t xml:space="preserve"> </w:t>
      </w:r>
      <w:r w:rsidR="00DC01EF" w:rsidRPr="00CE1418">
        <w:rPr>
          <w:rFonts w:ascii="Arial" w:hAnsi="Arial" w:cs="Arial"/>
          <w:lang w:eastAsia="en-US"/>
        </w:rPr>
        <w:t>Current debt maturity levels are</w:t>
      </w:r>
      <w:r w:rsidR="00F51096">
        <w:rPr>
          <w:rFonts w:ascii="Arial" w:hAnsi="Arial" w:cs="Arial"/>
          <w:lang w:eastAsia="en-US"/>
        </w:rPr>
        <w:t xml:space="preserve"> </w:t>
      </w:r>
      <w:r w:rsidR="00DC01EF" w:rsidRPr="00CE1418">
        <w:rPr>
          <w:rFonts w:ascii="Arial" w:hAnsi="Arial" w:cs="Arial"/>
          <w:lang w:eastAsia="en-US"/>
        </w:rPr>
        <w:t>within this guideline.</w:t>
      </w:r>
    </w:p>
    <w:p w14:paraId="10720D87" w14:textId="77777777" w:rsidR="00D06356" w:rsidRPr="002304D6" w:rsidRDefault="00D06356" w:rsidP="00DC01EF">
      <w:pPr>
        <w:autoSpaceDE w:val="0"/>
        <w:autoSpaceDN w:val="0"/>
        <w:adjustRightInd w:val="0"/>
        <w:rPr>
          <w:rFonts w:ascii="Arial" w:hAnsi="Arial" w:cs="Arial"/>
          <w:lang w:eastAsia="en-US"/>
        </w:rPr>
      </w:pPr>
    </w:p>
    <w:p w14:paraId="027DB29D" w14:textId="77777777" w:rsidR="00DC01EF" w:rsidRDefault="00DC01EF" w:rsidP="00935DF4">
      <w:pPr>
        <w:autoSpaceDE w:val="0"/>
        <w:autoSpaceDN w:val="0"/>
        <w:adjustRightInd w:val="0"/>
        <w:ind w:firstLine="720"/>
        <w:rPr>
          <w:rFonts w:ascii="Arial" w:hAnsi="Arial" w:cs="Arial"/>
          <w:b/>
          <w:bCs/>
          <w:lang w:eastAsia="en-US"/>
        </w:rPr>
      </w:pPr>
      <w:r w:rsidRPr="00DB27E1">
        <w:rPr>
          <w:rFonts w:ascii="Arial" w:hAnsi="Arial" w:cs="Arial"/>
          <w:b/>
          <w:bCs/>
          <w:lang w:eastAsia="en-US"/>
        </w:rPr>
        <w:t>The Economy and Interest Rates</w:t>
      </w:r>
    </w:p>
    <w:p w14:paraId="2B39D7DA" w14:textId="77777777" w:rsidR="0071686E" w:rsidRPr="002304D6" w:rsidRDefault="0071686E" w:rsidP="00935DF4">
      <w:pPr>
        <w:autoSpaceDE w:val="0"/>
        <w:autoSpaceDN w:val="0"/>
        <w:adjustRightInd w:val="0"/>
        <w:ind w:firstLine="720"/>
        <w:rPr>
          <w:rFonts w:ascii="Arial" w:hAnsi="Arial" w:cs="Arial"/>
          <w:b/>
          <w:bCs/>
          <w:lang w:eastAsia="en-US"/>
        </w:rPr>
      </w:pPr>
    </w:p>
    <w:p w14:paraId="65FE5D09" w14:textId="77777777" w:rsidR="00DB2231" w:rsidRDefault="001D1437" w:rsidP="00F51096">
      <w:pPr>
        <w:autoSpaceDE w:val="0"/>
        <w:autoSpaceDN w:val="0"/>
        <w:adjustRightInd w:val="0"/>
        <w:ind w:left="720"/>
        <w:rPr>
          <w:rFonts w:ascii="Arial" w:hAnsi="Arial" w:cs="Arial"/>
          <w:lang w:eastAsia="en-US"/>
        </w:rPr>
      </w:pPr>
      <w:r>
        <w:rPr>
          <w:rFonts w:ascii="Arial" w:hAnsi="Arial" w:cs="Arial"/>
          <w:lang w:eastAsia="en-US"/>
        </w:rPr>
        <w:t>After strong UK G</w:t>
      </w:r>
      <w:r w:rsidR="00DB2231">
        <w:rPr>
          <w:rFonts w:ascii="Arial" w:hAnsi="Arial" w:cs="Arial"/>
          <w:lang w:eastAsia="en-US"/>
        </w:rPr>
        <w:t xml:space="preserve">ross </w:t>
      </w:r>
      <w:r>
        <w:rPr>
          <w:rFonts w:ascii="Arial" w:hAnsi="Arial" w:cs="Arial"/>
          <w:lang w:eastAsia="en-US"/>
        </w:rPr>
        <w:t>D</w:t>
      </w:r>
      <w:r w:rsidR="00DB2231">
        <w:rPr>
          <w:rFonts w:ascii="Arial" w:hAnsi="Arial" w:cs="Arial"/>
          <w:lang w:eastAsia="en-US"/>
        </w:rPr>
        <w:t xml:space="preserve">omestic </w:t>
      </w:r>
      <w:r>
        <w:rPr>
          <w:rFonts w:ascii="Arial" w:hAnsi="Arial" w:cs="Arial"/>
          <w:lang w:eastAsia="en-US"/>
        </w:rPr>
        <w:t>P</w:t>
      </w:r>
      <w:r w:rsidR="00DB2231">
        <w:rPr>
          <w:rFonts w:ascii="Arial" w:hAnsi="Arial" w:cs="Arial"/>
          <w:lang w:eastAsia="en-US"/>
        </w:rPr>
        <w:t>roduct</w:t>
      </w:r>
      <w:r>
        <w:rPr>
          <w:rFonts w:ascii="Arial" w:hAnsi="Arial" w:cs="Arial"/>
          <w:lang w:eastAsia="en-US"/>
        </w:rPr>
        <w:t xml:space="preserve"> quarterly growth through 2013, strong growth is likely to continue through 2014 and into 2015. </w:t>
      </w:r>
      <w:r w:rsidR="00DB2231">
        <w:rPr>
          <w:rFonts w:ascii="Arial" w:hAnsi="Arial" w:cs="Arial"/>
          <w:lang w:eastAsia="en-US"/>
        </w:rPr>
        <w:t xml:space="preserve"> </w:t>
      </w:r>
      <w:r>
        <w:rPr>
          <w:rFonts w:ascii="Arial" w:hAnsi="Arial" w:cs="Arial"/>
          <w:lang w:eastAsia="en-US"/>
        </w:rPr>
        <w:t>The service and construction sectors look encouraging, and business investme</w:t>
      </w:r>
      <w:r w:rsidR="00DB2231">
        <w:rPr>
          <w:rFonts w:ascii="Arial" w:hAnsi="Arial" w:cs="Arial"/>
          <w:lang w:eastAsia="en-US"/>
        </w:rPr>
        <w:t>nt is also recovering strongly.</w:t>
      </w:r>
    </w:p>
    <w:p w14:paraId="651A7D1E" w14:textId="6A441881" w:rsidR="00DB27E1" w:rsidRDefault="001D1437" w:rsidP="00F51096">
      <w:pPr>
        <w:autoSpaceDE w:val="0"/>
        <w:autoSpaceDN w:val="0"/>
        <w:adjustRightInd w:val="0"/>
        <w:ind w:left="720"/>
        <w:rPr>
          <w:rFonts w:ascii="Arial" w:hAnsi="Arial" w:cs="Arial"/>
          <w:lang w:eastAsia="en-US"/>
        </w:rPr>
      </w:pPr>
      <w:r>
        <w:rPr>
          <w:rFonts w:ascii="Arial" w:hAnsi="Arial" w:cs="Arial"/>
          <w:lang w:eastAsia="en-US"/>
        </w:rPr>
        <w:lastRenderedPageBreak/>
        <w:t>However for the recovery to become more balanced and sustainable in the long term, the recovery needs to move away from dependence on consumer spending and the housing market to exporting, particularly manufactured goods.</w:t>
      </w:r>
    </w:p>
    <w:p w14:paraId="443EDE36" w14:textId="77777777" w:rsidR="001D1437" w:rsidRPr="002304D6" w:rsidRDefault="001D1437" w:rsidP="00F51096">
      <w:pPr>
        <w:autoSpaceDE w:val="0"/>
        <w:autoSpaceDN w:val="0"/>
        <w:adjustRightInd w:val="0"/>
        <w:ind w:left="720"/>
        <w:rPr>
          <w:rFonts w:ascii="Arial" w:hAnsi="Arial" w:cs="Arial"/>
          <w:lang w:eastAsia="en-US"/>
        </w:rPr>
      </w:pPr>
    </w:p>
    <w:p w14:paraId="2DAB61B9" w14:textId="3685818F" w:rsidR="00E34A38" w:rsidRDefault="001D1437" w:rsidP="00F51096">
      <w:pPr>
        <w:autoSpaceDE w:val="0"/>
        <w:autoSpaceDN w:val="0"/>
        <w:adjustRightInd w:val="0"/>
        <w:ind w:left="720"/>
        <w:rPr>
          <w:rFonts w:ascii="Arial" w:hAnsi="Arial" w:cs="Arial"/>
          <w:lang w:eastAsia="en-US"/>
        </w:rPr>
      </w:pPr>
      <w:r>
        <w:rPr>
          <w:rFonts w:ascii="Arial" w:hAnsi="Arial" w:cs="Arial"/>
          <w:lang w:eastAsia="en-US"/>
        </w:rPr>
        <w:t>The Monetary Policy Committee (MPC) had stated that increases in Bank Rate would be considered</w:t>
      </w:r>
      <w:r w:rsidR="00DB2231">
        <w:rPr>
          <w:rFonts w:ascii="Arial" w:hAnsi="Arial" w:cs="Arial"/>
          <w:lang w:eastAsia="en-US"/>
        </w:rPr>
        <w:t>,</w:t>
      </w:r>
      <w:r>
        <w:rPr>
          <w:rFonts w:ascii="Arial" w:hAnsi="Arial" w:cs="Arial"/>
          <w:lang w:eastAsia="en-US"/>
        </w:rPr>
        <w:t xml:space="preserve"> once a fall in unemployment</w:t>
      </w:r>
      <w:r w:rsidR="00E34A38">
        <w:rPr>
          <w:rFonts w:ascii="Arial" w:hAnsi="Arial" w:cs="Arial"/>
          <w:lang w:eastAsia="en-US"/>
        </w:rPr>
        <w:t xml:space="preserve"> of 7% had been reached.</w:t>
      </w:r>
      <w:r w:rsidR="00DB2231">
        <w:rPr>
          <w:rFonts w:ascii="Arial" w:hAnsi="Arial" w:cs="Arial"/>
          <w:lang w:eastAsia="en-US"/>
        </w:rPr>
        <w:t xml:space="preserve"> </w:t>
      </w:r>
      <w:r w:rsidR="00E34A38">
        <w:rPr>
          <w:rFonts w:ascii="Arial" w:hAnsi="Arial" w:cs="Arial"/>
          <w:lang w:eastAsia="en-US"/>
        </w:rPr>
        <w:t xml:space="preserve"> Overall strong growth has meant that unemployment has fallen much quicker than expected, so the MPC</w:t>
      </w:r>
      <w:r w:rsidR="00DB2231">
        <w:rPr>
          <w:rFonts w:ascii="Arial" w:hAnsi="Arial" w:cs="Arial"/>
          <w:lang w:eastAsia="en-US"/>
        </w:rPr>
        <w:t xml:space="preserve"> is</w:t>
      </w:r>
      <w:r w:rsidR="00E34A38">
        <w:rPr>
          <w:rFonts w:ascii="Arial" w:hAnsi="Arial" w:cs="Arial"/>
          <w:lang w:eastAsia="en-US"/>
        </w:rPr>
        <w:t xml:space="preserve"> now reviewing a range of indicators in order to form a view about how much slack there is in the economy. </w:t>
      </w:r>
      <w:r w:rsidR="00DB2231">
        <w:rPr>
          <w:rFonts w:ascii="Arial" w:hAnsi="Arial" w:cs="Arial"/>
          <w:lang w:eastAsia="en-US"/>
        </w:rPr>
        <w:t xml:space="preserve"> </w:t>
      </w:r>
      <w:r w:rsidR="00E34A38">
        <w:rPr>
          <w:rFonts w:ascii="Arial" w:hAnsi="Arial" w:cs="Arial"/>
          <w:lang w:eastAsia="en-US"/>
        </w:rPr>
        <w:t>The MPC is particularly concerned that the current squeeze on the disposable incomes of consumers should be reversed by wage inflation rising back above the level of inflation in order to ensure that the recovery will be sustainable.</w:t>
      </w:r>
    </w:p>
    <w:p w14:paraId="72D7AE66" w14:textId="77777777" w:rsidR="0014612A" w:rsidRPr="002304D6" w:rsidRDefault="0014612A" w:rsidP="00F51096">
      <w:pPr>
        <w:autoSpaceDE w:val="0"/>
        <w:autoSpaceDN w:val="0"/>
        <w:adjustRightInd w:val="0"/>
        <w:ind w:left="720"/>
        <w:rPr>
          <w:rFonts w:ascii="Arial" w:hAnsi="Arial" w:cs="Arial"/>
          <w:lang w:eastAsia="en-US"/>
        </w:rPr>
      </w:pPr>
    </w:p>
    <w:p w14:paraId="22D0B958" w14:textId="700B0573" w:rsidR="00E34A38" w:rsidRDefault="00E34A38" w:rsidP="00F51096">
      <w:pPr>
        <w:autoSpaceDE w:val="0"/>
        <w:autoSpaceDN w:val="0"/>
        <w:adjustRightInd w:val="0"/>
        <w:ind w:left="720"/>
        <w:rPr>
          <w:rFonts w:ascii="Arial" w:hAnsi="Arial" w:cs="Arial"/>
          <w:lang w:eastAsia="en-US"/>
        </w:rPr>
      </w:pPr>
      <w:r>
        <w:rPr>
          <w:rFonts w:ascii="Arial" w:hAnsi="Arial" w:cs="Arial"/>
          <w:lang w:eastAsia="en-US"/>
        </w:rPr>
        <w:t>There has also been an en</w:t>
      </w:r>
      <w:r w:rsidR="00DB2231">
        <w:rPr>
          <w:rFonts w:ascii="Arial" w:hAnsi="Arial" w:cs="Arial"/>
          <w:lang w:eastAsia="en-US"/>
        </w:rPr>
        <w:t>couraging fall in inflation (Consumer Price Index</w:t>
      </w:r>
      <w:r>
        <w:rPr>
          <w:rFonts w:ascii="Arial" w:hAnsi="Arial" w:cs="Arial"/>
          <w:lang w:eastAsia="en-US"/>
        </w:rPr>
        <w:t>), reaching 1.2% and likely to fall further.</w:t>
      </w:r>
    </w:p>
    <w:p w14:paraId="3C633538" w14:textId="77777777" w:rsidR="00DB27E1" w:rsidRPr="002304D6" w:rsidRDefault="00DB27E1" w:rsidP="00F51096">
      <w:pPr>
        <w:autoSpaceDE w:val="0"/>
        <w:autoSpaceDN w:val="0"/>
        <w:adjustRightInd w:val="0"/>
        <w:rPr>
          <w:rFonts w:ascii="Arial" w:hAnsi="Arial" w:cs="Arial"/>
          <w:lang w:eastAsia="en-US"/>
        </w:rPr>
      </w:pPr>
    </w:p>
    <w:p w14:paraId="44FD6D6D" w14:textId="77777777" w:rsidR="00DC01EF" w:rsidRPr="008B290F" w:rsidRDefault="00DC01EF" w:rsidP="00E34A38">
      <w:pPr>
        <w:autoSpaceDE w:val="0"/>
        <w:autoSpaceDN w:val="0"/>
        <w:adjustRightInd w:val="0"/>
        <w:ind w:firstLine="720"/>
        <w:jc w:val="both"/>
        <w:rPr>
          <w:rFonts w:ascii="Arial" w:hAnsi="Arial" w:cs="Arial"/>
          <w:lang w:eastAsia="en-US"/>
        </w:rPr>
      </w:pPr>
      <w:r w:rsidRPr="008B290F">
        <w:rPr>
          <w:rFonts w:ascii="Arial" w:hAnsi="Arial" w:cs="Arial"/>
          <w:b/>
          <w:bCs/>
          <w:lang w:eastAsia="en-US"/>
        </w:rPr>
        <w:t>Interest Rate</w:t>
      </w:r>
      <w:r w:rsidR="00E34A38">
        <w:rPr>
          <w:rFonts w:ascii="Arial" w:hAnsi="Arial" w:cs="Arial"/>
          <w:b/>
          <w:bCs/>
          <w:lang w:eastAsia="en-US"/>
        </w:rPr>
        <w:t xml:space="preserve"> Forecasts</w:t>
      </w:r>
    </w:p>
    <w:p w14:paraId="495BBE65" w14:textId="77777777" w:rsidR="00F51096" w:rsidRPr="002304D6" w:rsidRDefault="00F51096" w:rsidP="00935DF4">
      <w:pPr>
        <w:autoSpaceDE w:val="0"/>
        <w:autoSpaceDN w:val="0"/>
        <w:adjustRightInd w:val="0"/>
        <w:ind w:left="720"/>
        <w:rPr>
          <w:rFonts w:ascii="Arial" w:hAnsi="Arial" w:cs="Arial"/>
          <w:lang w:eastAsia="en-US"/>
        </w:rPr>
      </w:pPr>
    </w:p>
    <w:p w14:paraId="5FA413B0" w14:textId="5A2F3505" w:rsidR="00DC01EF" w:rsidRDefault="00E34A38" w:rsidP="00935DF4">
      <w:pPr>
        <w:autoSpaceDE w:val="0"/>
        <w:autoSpaceDN w:val="0"/>
        <w:adjustRightInd w:val="0"/>
        <w:ind w:left="720"/>
        <w:rPr>
          <w:rFonts w:ascii="Arial" w:hAnsi="Arial" w:cs="Arial"/>
          <w:lang w:eastAsia="en-US"/>
        </w:rPr>
      </w:pPr>
      <w:r>
        <w:rPr>
          <w:rFonts w:ascii="Arial" w:hAnsi="Arial" w:cs="Arial"/>
          <w:lang w:eastAsia="en-US"/>
        </w:rPr>
        <w:t xml:space="preserve">The Authority’s treasury advisor, Capita Asset Services, has provided interest rate forecasts. </w:t>
      </w:r>
      <w:r w:rsidR="00DB2231">
        <w:rPr>
          <w:rFonts w:ascii="Arial" w:hAnsi="Arial" w:cs="Arial"/>
          <w:lang w:eastAsia="en-US"/>
        </w:rPr>
        <w:t xml:space="preserve"> </w:t>
      </w:r>
      <w:r>
        <w:rPr>
          <w:rFonts w:ascii="Arial" w:hAnsi="Arial" w:cs="Arial"/>
          <w:lang w:eastAsia="en-US"/>
        </w:rPr>
        <w:t>Bank rate is forecast to increase</w:t>
      </w:r>
      <w:r w:rsidR="00DB2231">
        <w:rPr>
          <w:rFonts w:ascii="Arial" w:hAnsi="Arial" w:cs="Arial"/>
          <w:lang w:eastAsia="en-US"/>
        </w:rPr>
        <w:t xml:space="preserve"> slowly</w:t>
      </w:r>
      <w:r>
        <w:rPr>
          <w:rFonts w:ascii="Arial" w:hAnsi="Arial" w:cs="Arial"/>
          <w:lang w:eastAsia="en-US"/>
        </w:rPr>
        <w:t xml:space="preserve"> by the end of the financial year.</w:t>
      </w:r>
    </w:p>
    <w:p w14:paraId="34942F77" w14:textId="77777777" w:rsidR="00E34A38" w:rsidRPr="002304D6" w:rsidRDefault="00E34A38" w:rsidP="00935DF4">
      <w:pPr>
        <w:autoSpaceDE w:val="0"/>
        <w:autoSpaceDN w:val="0"/>
        <w:adjustRightInd w:val="0"/>
        <w:ind w:left="720"/>
        <w:rPr>
          <w:rFonts w:ascii="Arial" w:hAnsi="Arial" w:cs="Arial"/>
          <w:lang w:eastAsia="en-US"/>
        </w:rPr>
      </w:pPr>
    </w:p>
    <w:p w14:paraId="33EDAA9E" w14:textId="15838E07" w:rsidR="00E34A38" w:rsidRPr="008B290F" w:rsidRDefault="00DB2231" w:rsidP="00935DF4">
      <w:pPr>
        <w:autoSpaceDE w:val="0"/>
        <w:autoSpaceDN w:val="0"/>
        <w:adjustRightInd w:val="0"/>
        <w:ind w:left="720"/>
        <w:rPr>
          <w:rFonts w:ascii="Arial" w:hAnsi="Arial" w:cs="Arial"/>
          <w:lang w:eastAsia="en-US"/>
        </w:rPr>
      </w:pPr>
      <w:r>
        <w:rPr>
          <w:rFonts w:ascii="Arial" w:hAnsi="Arial" w:cs="Arial"/>
          <w:lang w:eastAsia="en-US"/>
        </w:rPr>
        <w:t>Long term Public Works Loan Board</w:t>
      </w:r>
      <w:r w:rsidR="00E34A38">
        <w:rPr>
          <w:rFonts w:ascii="Arial" w:hAnsi="Arial" w:cs="Arial"/>
          <w:lang w:eastAsia="en-US"/>
        </w:rPr>
        <w:t xml:space="preserve"> rates are expected to increase steadily between now and March 2016, ending 2015/16 at around 4.6%.</w:t>
      </w:r>
    </w:p>
    <w:p w14:paraId="3FB746B1" w14:textId="77777777" w:rsidR="00966D89" w:rsidRPr="00320943" w:rsidRDefault="00966D89">
      <w:pPr>
        <w:rPr>
          <w:rFonts w:ascii="Arial" w:hAnsi="Arial" w:cs="Arial"/>
          <w:b/>
          <w:bCs/>
          <w:lang w:eastAsia="en-US"/>
        </w:rPr>
      </w:pPr>
    </w:p>
    <w:p w14:paraId="751FBF3A" w14:textId="77777777" w:rsidR="00DC01EF" w:rsidRPr="00A67D2F" w:rsidRDefault="00DC01EF" w:rsidP="00935DF4">
      <w:pPr>
        <w:autoSpaceDE w:val="0"/>
        <w:autoSpaceDN w:val="0"/>
        <w:adjustRightInd w:val="0"/>
        <w:ind w:firstLine="720"/>
        <w:rPr>
          <w:rFonts w:ascii="Arial" w:hAnsi="Arial" w:cs="Arial"/>
          <w:b/>
          <w:bCs/>
          <w:lang w:eastAsia="en-US"/>
        </w:rPr>
      </w:pPr>
      <w:r w:rsidRPr="00A67D2F">
        <w:rPr>
          <w:rFonts w:ascii="Arial" w:hAnsi="Arial" w:cs="Arial"/>
          <w:b/>
          <w:bCs/>
          <w:lang w:eastAsia="en-US"/>
        </w:rPr>
        <w:t>Investment Rates in the First Half of 201</w:t>
      </w:r>
      <w:r w:rsidR="00071751">
        <w:rPr>
          <w:rFonts w:ascii="Arial" w:hAnsi="Arial" w:cs="Arial"/>
          <w:b/>
          <w:bCs/>
          <w:lang w:eastAsia="en-US"/>
        </w:rPr>
        <w:t>4</w:t>
      </w:r>
      <w:r w:rsidRPr="00A67D2F">
        <w:rPr>
          <w:rFonts w:ascii="Arial" w:hAnsi="Arial" w:cs="Arial"/>
          <w:b/>
          <w:bCs/>
          <w:lang w:eastAsia="en-US"/>
        </w:rPr>
        <w:t>/1</w:t>
      </w:r>
      <w:r w:rsidR="00071751">
        <w:rPr>
          <w:rFonts w:ascii="Arial" w:hAnsi="Arial" w:cs="Arial"/>
          <w:b/>
          <w:bCs/>
          <w:lang w:eastAsia="en-US"/>
        </w:rPr>
        <w:t>5</w:t>
      </w:r>
    </w:p>
    <w:p w14:paraId="5DF8067C" w14:textId="77777777" w:rsidR="00F51096" w:rsidRPr="00320943" w:rsidRDefault="00F51096" w:rsidP="00935DF4">
      <w:pPr>
        <w:autoSpaceDE w:val="0"/>
        <w:autoSpaceDN w:val="0"/>
        <w:adjustRightInd w:val="0"/>
        <w:ind w:firstLine="720"/>
        <w:rPr>
          <w:rFonts w:ascii="Arial" w:hAnsi="Arial" w:cs="Arial"/>
          <w:lang w:eastAsia="en-US"/>
        </w:rPr>
      </w:pPr>
    </w:p>
    <w:p w14:paraId="0F1DAAFA" w14:textId="77777777" w:rsidR="00DC01EF" w:rsidRPr="00A67D2F" w:rsidRDefault="00DC01EF" w:rsidP="00935DF4">
      <w:pPr>
        <w:autoSpaceDE w:val="0"/>
        <w:autoSpaceDN w:val="0"/>
        <w:adjustRightInd w:val="0"/>
        <w:ind w:firstLine="720"/>
        <w:rPr>
          <w:rFonts w:ascii="Arial" w:hAnsi="Arial" w:cs="Arial"/>
          <w:lang w:eastAsia="en-US"/>
        </w:rPr>
      </w:pPr>
      <w:r w:rsidRPr="00A67D2F">
        <w:rPr>
          <w:rFonts w:ascii="Arial" w:hAnsi="Arial" w:cs="Arial"/>
          <w:lang w:eastAsia="en-US"/>
        </w:rPr>
        <w:t>The 7-day rate, with which to compare the investment return achieved for the</w:t>
      </w:r>
    </w:p>
    <w:p w14:paraId="0034E9D4" w14:textId="77777777" w:rsidR="00DC01EF" w:rsidRPr="00A67D2F" w:rsidRDefault="00DC01EF" w:rsidP="00F51096">
      <w:pPr>
        <w:autoSpaceDE w:val="0"/>
        <w:autoSpaceDN w:val="0"/>
        <w:adjustRightInd w:val="0"/>
        <w:ind w:left="709"/>
        <w:rPr>
          <w:rFonts w:ascii="Arial" w:hAnsi="Arial" w:cs="Arial"/>
          <w:lang w:eastAsia="en-US"/>
        </w:rPr>
      </w:pPr>
      <w:r w:rsidRPr="00A67D2F">
        <w:rPr>
          <w:rFonts w:ascii="Arial" w:hAnsi="Arial" w:cs="Arial"/>
          <w:lang w:eastAsia="en-US"/>
        </w:rPr>
        <w:t>Fire Authority by Treasury Services, was 0.</w:t>
      </w:r>
      <w:r w:rsidR="000803E7">
        <w:rPr>
          <w:rFonts w:ascii="Arial" w:hAnsi="Arial" w:cs="Arial"/>
          <w:lang w:eastAsia="en-US"/>
        </w:rPr>
        <w:t>30</w:t>
      </w:r>
      <w:r w:rsidRPr="00A67D2F">
        <w:rPr>
          <w:rFonts w:ascii="Arial" w:hAnsi="Arial" w:cs="Arial"/>
          <w:lang w:eastAsia="en-US"/>
        </w:rPr>
        <w:t>% for the first half of 201</w:t>
      </w:r>
      <w:r w:rsidR="000803E7">
        <w:rPr>
          <w:rFonts w:ascii="Arial" w:hAnsi="Arial" w:cs="Arial"/>
          <w:lang w:eastAsia="en-US"/>
        </w:rPr>
        <w:t>4</w:t>
      </w:r>
      <w:r w:rsidRPr="00A67D2F">
        <w:rPr>
          <w:rFonts w:ascii="Arial" w:hAnsi="Arial" w:cs="Arial"/>
          <w:lang w:eastAsia="en-US"/>
        </w:rPr>
        <w:t>/1</w:t>
      </w:r>
      <w:r w:rsidR="000803E7">
        <w:rPr>
          <w:rFonts w:ascii="Arial" w:hAnsi="Arial" w:cs="Arial"/>
          <w:lang w:eastAsia="en-US"/>
        </w:rPr>
        <w:t>5</w:t>
      </w:r>
      <w:r w:rsidRPr="00A67D2F">
        <w:rPr>
          <w:rFonts w:ascii="Arial" w:hAnsi="Arial" w:cs="Arial"/>
          <w:lang w:eastAsia="en-US"/>
        </w:rPr>
        <w:t>.</w:t>
      </w:r>
      <w:r w:rsidR="00F51096">
        <w:rPr>
          <w:rFonts w:ascii="Arial" w:hAnsi="Arial" w:cs="Arial"/>
          <w:lang w:eastAsia="en-US"/>
        </w:rPr>
        <w:t xml:space="preserve">  </w:t>
      </w:r>
      <w:r w:rsidRPr="00A67D2F">
        <w:rPr>
          <w:rFonts w:ascii="Arial" w:hAnsi="Arial" w:cs="Arial"/>
          <w:lang w:eastAsia="en-US"/>
        </w:rPr>
        <w:t>The actual investment return was 0.</w:t>
      </w:r>
      <w:r w:rsidR="00A67D2F" w:rsidRPr="00A67D2F">
        <w:rPr>
          <w:rFonts w:ascii="Arial" w:hAnsi="Arial" w:cs="Arial"/>
          <w:lang w:eastAsia="en-US"/>
        </w:rPr>
        <w:t>3</w:t>
      </w:r>
      <w:r w:rsidR="000803E7">
        <w:rPr>
          <w:rFonts w:ascii="Arial" w:hAnsi="Arial" w:cs="Arial"/>
          <w:lang w:eastAsia="en-US"/>
        </w:rPr>
        <w:t>6</w:t>
      </w:r>
      <w:r w:rsidRPr="00A67D2F">
        <w:rPr>
          <w:rFonts w:ascii="Arial" w:hAnsi="Arial" w:cs="Arial"/>
          <w:lang w:eastAsia="en-US"/>
        </w:rPr>
        <w:t>%.</w:t>
      </w:r>
    </w:p>
    <w:p w14:paraId="08FB158D" w14:textId="77777777" w:rsidR="00935DF4" w:rsidRPr="00320943" w:rsidRDefault="00935DF4" w:rsidP="00DC01EF">
      <w:pPr>
        <w:autoSpaceDE w:val="0"/>
        <w:autoSpaceDN w:val="0"/>
        <w:adjustRightInd w:val="0"/>
        <w:rPr>
          <w:rFonts w:ascii="Arial" w:hAnsi="Arial" w:cs="Arial"/>
          <w:lang w:eastAsia="en-US"/>
        </w:rPr>
      </w:pPr>
    </w:p>
    <w:p w14:paraId="23768A28" w14:textId="77777777" w:rsidR="00DC01EF" w:rsidRPr="00746488" w:rsidRDefault="00DC01EF" w:rsidP="00935DF4">
      <w:pPr>
        <w:autoSpaceDE w:val="0"/>
        <w:autoSpaceDN w:val="0"/>
        <w:adjustRightInd w:val="0"/>
        <w:ind w:firstLine="720"/>
        <w:rPr>
          <w:rFonts w:ascii="Arial" w:hAnsi="Arial" w:cs="Arial"/>
          <w:b/>
          <w:bCs/>
          <w:lang w:eastAsia="en-US"/>
        </w:rPr>
      </w:pPr>
      <w:r w:rsidRPr="00746488">
        <w:rPr>
          <w:rFonts w:ascii="Arial" w:hAnsi="Arial" w:cs="Arial"/>
          <w:b/>
          <w:bCs/>
          <w:lang w:eastAsia="en-US"/>
        </w:rPr>
        <w:t>Current Investments</w:t>
      </w:r>
    </w:p>
    <w:p w14:paraId="159EF0C6" w14:textId="77777777" w:rsidR="00F51096" w:rsidRPr="00320943" w:rsidRDefault="00F51096" w:rsidP="00935DF4">
      <w:pPr>
        <w:autoSpaceDE w:val="0"/>
        <w:autoSpaceDN w:val="0"/>
        <w:adjustRightInd w:val="0"/>
        <w:ind w:firstLine="720"/>
        <w:rPr>
          <w:rFonts w:ascii="Arial" w:hAnsi="Arial" w:cs="Arial"/>
          <w:lang w:eastAsia="en-US"/>
        </w:rPr>
      </w:pPr>
    </w:p>
    <w:p w14:paraId="0D8794C4" w14:textId="77777777" w:rsidR="00DC01EF" w:rsidRPr="00746488" w:rsidRDefault="00DC01EF" w:rsidP="00935DF4">
      <w:pPr>
        <w:autoSpaceDE w:val="0"/>
        <w:autoSpaceDN w:val="0"/>
        <w:adjustRightInd w:val="0"/>
        <w:ind w:firstLine="720"/>
        <w:rPr>
          <w:rFonts w:ascii="Arial" w:hAnsi="Arial" w:cs="Arial"/>
          <w:lang w:eastAsia="en-US"/>
        </w:rPr>
      </w:pPr>
      <w:r w:rsidRPr="00746488">
        <w:rPr>
          <w:rFonts w:ascii="Arial" w:hAnsi="Arial" w:cs="Arial"/>
          <w:lang w:eastAsia="en-US"/>
        </w:rPr>
        <w:t>Funds currently invested are shown below:</w:t>
      </w:r>
    </w:p>
    <w:p w14:paraId="2562E135" w14:textId="77777777" w:rsidR="00D06356" w:rsidRPr="00320943" w:rsidRDefault="00D06356" w:rsidP="00DC01EF">
      <w:pPr>
        <w:autoSpaceDE w:val="0"/>
        <w:autoSpaceDN w:val="0"/>
        <w:adjustRightInd w:val="0"/>
        <w:rPr>
          <w:rFonts w:ascii="Arial" w:hAnsi="Arial" w:cs="Arial"/>
          <w:i/>
          <w:lang w:eastAsia="en-US"/>
        </w:rPr>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1934"/>
      </w:tblGrid>
      <w:tr w:rsidR="00D06356" w14:paraId="719F6172" w14:textId="77777777" w:rsidTr="00935DF4">
        <w:tc>
          <w:tcPr>
            <w:tcW w:w="6374" w:type="dxa"/>
          </w:tcPr>
          <w:p w14:paraId="5D6680B6" w14:textId="77777777" w:rsidR="00D06356" w:rsidRPr="003E5455" w:rsidRDefault="00D06356" w:rsidP="00966D89">
            <w:pPr>
              <w:autoSpaceDE w:val="0"/>
              <w:autoSpaceDN w:val="0"/>
              <w:adjustRightInd w:val="0"/>
              <w:ind w:hanging="108"/>
              <w:rPr>
                <w:rFonts w:ascii="Arial" w:hAnsi="Arial" w:cs="Arial"/>
                <w:lang w:eastAsia="en-US"/>
              </w:rPr>
            </w:pPr>
            <w:r w:rsidRPr="003E5455">
              <w:rPr>
                <w:rFonts w:ascii="Arial" w:hAnsi="Arial" w:cs="Arial"/>
                <w:lang w:eastAsia="en-US"/>
              </w:rPr>
              <w:t>Debt Management Office</w:t>
            </w:r>
          </w:p>
        </w:tc>
        <w:tc>
          <w:tcPr>
            <w:tcW w:w="1934" w:type="dxa"/>
          </w:tcPr>
          <w:p w14:paraId="4064AF21" w14:textId="77777777" w:rsidR="00D06356" w:rsidRPr="003E5455" w:rsidRDefault="00D06356" w:rsidP="000803E7">
            <w:pPr>
              <w:autoSpaceDE w:val="0"/>
              <w:autoSpaceDN w:val="0"/>
              <w:adjustRightInd w:val="0"/>
              <w:jc w:val="right"/>
              <w:rPr>
                <w:rFonts w:ascii="Arial" w:hAnsi="Arial" w:cs="Arial"/>
                <w:lang w:eastAsia="en-US"/>
              </w:rPr>
            </w:pPr>
            <w:r w:rsidRPr="003E5455">
              <w:rPr>
                <w:rFonts w:ascii="Arial" w:hAnsi="Arial" w:cs="Arial"/>
                <w:lang w:eastAsia="en-US"/>
              </w:rPr>
              <w:t>£</w:t>
            </w:r>
            <w:r w:rsidR="000803E7">
              <w:rPr>
                <w:rFonts w:ascii="Arial" w:hAnsi="Arial" w:cs="Arial"/>
                <w:lang w:eastAsia="en-US"/>
              </w:rPr>
              <w:t>8.02m</w:t>
            </w:r>
          </w:p>
        </w:tc>
      </w:tr>
      <w:tr w:rsidR="00D06356" w14:paraId="1C8D8CB6" w14:textId="77777777" w:rsidTr="00935DF4">
        <w:tc>
          <w:tcPr>
            <w:tcW w:w="6374" w:type="dxa"/>
          </w:tcPr>
          <w:p w14:paraId="0A6A582A" w14:textId="77777777" w:rsidR="00D06356" w:rsidRPr="003E5455" w:rsidRDefault="000803E7" w:rsidP="00966D89">
            <w:pPr>
              <w:autoSpaceDE w:val="0"/>
              <w:autoSpaceDN w:val="0"/>
              <w:adjustRightInd w:val="0"/>
              <w:ind w:hanging="108"/>
              <w:rPr>
                <w:rFonts w:ascii="Arial" w:hAnsi="Arial" w:cs="Arial"/>
                <w:lang w:eastAsia="en-US"/>
              </w:rPr>
            </w:pPr>
            <w:r>
              <w:rPr>
                <w:rFonts w:ascii="Arial" w:hAnsi="Arial" w:cs="Arial"/>
                <w:lang w:eastAsia="en-US"/>
              </w:rPr>
              <w:t>Handelsbanken</w:t>
            </w:r>
          </w:p>
        </w:tc>
        <w:tc>
          <w:tcPr>
            <w:tcW w:w="1934" w:type="dxa"/>
          </w:tcPr>
          <w:p w14:paraId="2CC4FF94" w14:textId="77777777" w:rsidR="00D06356" w:rsidRPr="003E5455" w:rsidRDefault="00D06356" w:rsidP="003E5455">
            <w:pPr>
              <w:autoSpaceDE w:val="0"/>
              <w:autoSpaceDN w:val="0"/>
              <w:adjustRightInd w:val="0"/>
              <w:jc w:val="right"/>
              <w:rPr>
                <w:rFonts w:ascii="Arial" w:hAnsi="Arial" w:cs="Arial"/>
                <w:lang w:eastAsia="en-US"/>
              </w:rPr>
            </w:pPr>
            <w:r w:rsidRPr="003E5455">
              <w:rPr>
                <w:rFonts w:ascii="Arial" w:hAnsi="Arial" w:cs="Arial"/>
                <w:lang w:eastAsia="en-US"/>
              </w:rPr>
              <w:t>£</w:t>
            </w:r>
            <w:r w:rsidR="003E5455" w:rsidRPr="003E5455">
              <w:rPr>
                <w:rFonts w:ascii="Arial" w:hAnsi="Arial" w:cs="Arial"/>
                <w:lang w:eastAsia="en-US"/>
              </w:rPr>
              <w:t>2.00</w:t>
            </w:r>
            <w:r w:rsidRPr="003E5455">
              <w:rPr>
                <w:rFonts w:ascii="Arial" w:hAnsi="Arial" w:cs="Arial"/>
                <w:lang w:eastAsia="en-US"/>
              </w:rPr>
              <w:t>m</w:t>
            </w:r>
          </w:p>
        </w:tc>
      </w:tr>
      <w:tr w:rsidR="00D06356" w14:paraId="500AA7DF" w14:textId="77777777" w:rsidTr="00935DF4">
        <w:tc>
          <w:tcPr>
            <w:tcW w:w="6374" w:type="dxa"/>
          </w:tcPr>
          <w:p w14:paraId="7D5BE194" w14:textId="77777777" w:rsidR="00D06356" w:rsidRPr="003E5455" w:rsidRDefault="000803E7" w:rsidP="00966D89">
            <w:pPr>
              <w:autoSpaceDE w:val="0"/>
              <w:autoSpaceDN w:val="0"/>
              <w:adjustRightInd w:val="0"/>
              <w:ind w:hanging="108"/>
              <w:rPr>
                <w:rFonts w:ascii="Arial" w:hAnsi="Arial" w:cs="Arial"/>
                <w:lang w:eastAsia="en-US"/>
              </w:rPr>
            </w:pPr>
            <w:r>
              <w:rPr>
                <w:rFonts w:ascii="Arial" w:hAnsi="Arial" w:cs="Arial"/>
                <w:lang w:eastAsia="en-US"/>
              </w:rPr>
              <w:t>Barclays</w:t>
            </w:r>
          </w:p>
        </w:tc>
        <w:tc>
          <w:tcPr>
            <w:tcW w:w="1934" w:type="dxa"/>
          </w:tcPr>
          <w:p w14:paraId="48E9E533" w14:textId="77777777" w:rsidR="00D06356" w:rsidRPr="003E5455" w:rsidRDefault="00D06356" w:rsidP="000803E7">
            <w:pPr>
              <w:autoSpaceDE w:val="0"/>
              <w:autoSpaceDN w:val="0"/>
              <w:adjustRightInd w:val="0"/>
              <w:jc w:val="right"/>
              <w:rPr>
                <w:rFonts w:ascii="Arial" w:hAnsi="Arial" w:cs="Arial"/>
                <w:lang w:eastAsia="en-US"/>
              </w:rPr>
            </w:pPr>
            <w:r w:rsidRPr="003E5455">
              <w:rPr>
                <w:rFonts w:ascii="Arial" w:hAnsi="Arial" w:cs="Arial"/>
                <w:lang w:eastAsia="en-US"/>
              </w:rPr>
              <w:t>£</w:t>
            </w:r>
            <w:r w:rsidR="000803E7">
              <w:rPr>
                <w:rFonts w:ascii="Arial" w:hAnsi="Arial" w:cs="Arial"/>
                <w:lang w:eastAsia="en-US"/>
              </w:rPr>
              <w:t>2.00</w:t>
            </w:r>
            <w:r w:rsidRPr="003E5455">
              <w:rPr>
                <w:rFonts w:ascii="Arial" w:hAnsi="Arial" w:cs="Arial"/>
                <w:lang w:eastAsia="en-US"/>
              </w:rPr>
              <w:t>m</w:t>
            </w:r>
          </w:p>
        </w:tc>
      </w:tr>
      <w:tr w:rsidR="003E5455" w14:paraId="680EC428" w14:textId="77777777" w:rsidTr="00935DF4">
        <w:tc>
          <w:tcPr>
            <w:tcW w:w="6374" w:type="dxa"/>
          </w:tcPr>
          <w:p w14:paraId="43D707C1" w14:textId="77777777" w:rsidR="003E5455" w:rsidRPr="003E5455" w:rsidRDefault="000803E7" w:rsidP="00966D89">
            <w:pPr>
              <w:autoSpaceDE w:val="0"/>
              <w:autoSpaceDN w:val="0"/>
              <w:adjustRightInd w:val="0"/>
              <w:ind w:hanging="108"/>
              <w:rPr>
                <w:rFonts w:ascii="Arial" w:hAnsi="Arial" w:cs="Arial"/>
                <w:bCs/>
                <w:lang w:eastAsia="en-US"/>
              </w:rPr>
            </w:pPr>
            <w:r>
              <w:rPr>
                <w:rFonts w:ascii="Arial" w:hAnsi="Arial" w:cs="Arial"/>
                <w:bCs/>
                <w:lang w:eastAsia="en-US"/>
              </w:rPr>
              <w:t>Lloyds</w:t>
            </w:r>
            <w:r w:rsidR="003E5455" w:rsidRPr="003E5455">
              <w:rPr>
                <w:rFonts w:ascii="Arial" w:hAnsi="Arial" w:cs="Arial"/>
                <w:bCs/>
                <w:lang w:eastAsia="en-US"/>
              </w:rPr>
              <w:t xml:space="preserve"> </w:t>
            </w:r>
          </w:p>
        </w:tc>
        <w:tc>
          <w:tcPr>
            <w:tcW w:w="1934" w:type="dxa"/>
          </w:tcPr>
          <w:p w14:paraId="2B51469D" w14:textId="77777777" w:rsidR="003E5455" w:rsidRPr="003E5455" w:rsidRDefault="003E5455" w:rsidP="000803E7">
            <w:pPr>
              <w:pStyle w:val="PlainText"/>
              <w:ind w:firstLine="720"/>
              <w:jc w:val="right"/>
              <w:rPr>
                <w:rFonts w:ascii="Arial" w:hAnsi="Arial" w:cs="Arial"/>
                <w:bCs/>
                <w:sz w:val="24"/>
                <w:szCs w:val="24"/>
                <w:lang w:eastAsia="en-US"/>
              </w:rPr>
            </w:pPr>
            <w:r w:rsidRPr="003E5455">
              <w:rPr>
                <w:rFonts w:ascii="Arial" w:hAnsi="Arial" w:cs="Arial"/>
                <w:bCs/>
                <w:sz w:val="24"/>
                <w:szCs w:val="24"/>
                <w:lang w:eastAsia="en-US"/>
              </w:rPr>
              <w:t>£</w:t>
            </w:r>
            <w:r w:rsidR="000803E7">
              <w:rPr>
                <w:rFonts w:ascii="Arial" w:hAnsi="Arial" w:cs="Arial"/>
                <w:bCs/>
                <w:sz w:val="24"/>
                <w:szCs w:val="24"/>
                <w:lang w:eastAsia="en-US"/>
              </w:rPr>
              <w:t>2.</w:t>
            </w:r>
            <w:r w:rsidRPr="003E5455">
              <w:rPr>
                <w:rFonts w:ascii="Arial" w:hAnsi="Arial" w:cs="Arial"/>
                <w:bCs/>
                <w:sz w:val="24"/>
                <w:szCs w:val="24"/>
                <w:lang w:eastAsia="en-US"/>
              </w:rPr>
              <w:t>00m</w:t>
            </w:r>
          </w:p>
        </w:tc>
      </w:tr>
      <w:tr w:rsidR="003E5455" w14:paraId="1E1E9AC3" w14:textId="77777777" w:rsidTr="00935DF4">
        <w:tc>
          <w:tcPr>
            <w:tcW w:w="6374" w:type="dxa"/>
          </w:tcPr>
          <w:p w14:paraId="17FB3463" w14:textId="376210D4" w:rsidR="000803E7" w:rsidRPr="003E5455" w:rsidRDefault="000803E7" w:rsidP="0014612A">
            <w:pPr>
              <w:autoSpaceDE w:val="0"/>
              <w:autoSpaceDN w:val="0"/>
              <w:adjustRightInd w:val="0"/>
              <w:ind w:hanging="108"/>
              <w:rPr>
                <w:rFonts w:ascii="Arial" w:hAnsi="Arial" w:cs="Arial"/>
                <w:bCs/>
                <w:lang w:eastAsia="en-US"/>
              </w:rPr>
            </w:pPr>
            <w:r>
              <w:rPr>
                <w:rFonts w:ascii="Arial" w:hAnsi="Arial" w:cs="Arial"/>
                <w:bCs/>
                <w:lang w:eastAsia="en-US"/>
              </w:rPr>
              <w:t>Nationwide</w:t>
            </w:r>
          </w:p>
        </w:tc>
        <w:tc>
          <w:tcPr>
            <w:tcW w:w="1934" w:type="dxa"/>
          </w:tcPr>
          <w:p w14:paraId="21CF05CF" w14:textId="496676B4" w:rsidR="000803E7" w:rsidRPr="003E5455" w:rsidRDefault="003E5455" w:rsidP="0014612A">
            <w:pPr>
              <w:pStyle w:val="PlainText"/>
              <w:ind w:firstLine="720"/>
              <w:jc w:val="right"/>
              <w:rPr>
                <w:rFonts w:ascii="Arial" w:hAnsi="Arial" w:cs="Arial"/>
                <w:bCs/>
                <w:sz w:val="24"/>
                <w:szCs w:val="24"/>
                <w:lang w:eastAsia="en-US"/>
              </w:rPr>
            </w:pPr>
            <w:r>
              <w:rPr>
                <w:rFonts w:ascii="Arial" w:hAnsi="Arial" w:cs="Arial"/>
                <w:bCs/>
                <w:sz w:val="24"/>
                <w:szCs w:val="24"/>
                <w:lang w:eastAsia="en-US"/>
              </w:rPr>
              <w:t>£</w:t>
            </w:r>
            <w:r w:rsidR="000803E7">
              <w:rPr>
                <w:rFonts w:ascii="Arial" w:hAnsi="Arial" w:cs="Arial"/>
                <w:bCs/>
                <w:sz w:val="24"/>
                <w:szCs w:val="24"/>
                <w:lang w:eastAsia="en-US"/>
              </w:rPr>
              <w:t>2.00m</w:t>
            </w:r>
          </w:p>
        </w:tc>
      </w:tr>
      <w:tr w:rsidR="0014612A" w14:paraId="0CCE3012" w14:textId="77777777" w:rsidTr="00935DF4">
        <w:tc>
          <w:tcPr>
            <w:tcW w:w="6374" w:type="dxa"/>
          </w:tcPr>
          <w:p w14:paraId="3C223A14" w14:textId="249306C9" w:rsidR="0014612A" w:rsidRDefault="0014612A" w:rsidP="00966D89">
            <w:pPr>
              <w:autoSpaceDE w:val="0"/>
              <w:autoSpaceDN w:val="0"/>
              <w:adjustRightInd w:val="0"/>
              <w:ind w:hanging="108"/>
              <w:rPr>
                <w:rFonts w:ascii="Arial" w:hAnsi="Arial" w:cs="Arial"/>
                <w:bCs/>
                <w:lang w:eastAsia="en-US"/>
              </w:rPr>
            </w:pPr>
            <w:r>
              <w:rPr>
                <w:rFonts w:ascii="Arial" w:hAnsi="Arial" w:cs="Arial"/>
                <w:bCs/>
                <w:lang w:eastAsia="en-US"/>
              </w:rPr>
              <w:t>Salford City Council</w:t>
            </w:r>
          </w:p>
        </w:tc>
        <w:tc>
          <w:tcPr>
            <w:tcW w:w="1934" w:type="dxa"/>
          </w:tcPr>
          <w:p w14:paraId="081AF24D" w14:textId="431D86C8" w:rsidR="0014612A" w:rsidRDefault="0014612A" w:rsidP="000803E7">
            <w:pPr>
              <w:pStyle w:val="PlainText"/>
              <w:ind w:firstLine="720"/>
              <w:jc w:val="right"/>
              <w:rPr>
                <w:rFonts w:ascii="Arial" w:hAnsi="Arial" w:cs="Arial"/>
                <w:bCs/>
                <w:sz w:val="24"/>
                <w:szCs w:val="24"/>
                <w:lang w:eastAsia="en-US"/>
              </w:rPr>
            </w:pPr>
            <w:r>
              <w:rPr>
                <w:rFonts w:ascii="Arial" w:hAnsi="Arial" w:cs="Arial"/>
                <w:bCs/>
                <w:sz w:val="24"/>
                <w:szCs w:val="24"/>
                <w:lang w:eastAsia="en-US"/>
              </w:rPr>
              <w:t>£1.15m</w:t>
            </w:r>
          </w:p>
        </w:tc>
      </w:tr>
      <w:tr w:rsidR="003E5455" w14:paraId="4DE38236" w14:textId="77777777" w:rsidTr="00935DF4">
        <w:tc>
          <w:tcPr>
            <w:tcW w:w="6374" w:type="dxa"/>
          </w:tcPr>
          <w:p w14:paraId="1723E609" w14:textId="77777777" w:rsidR="003E5455" w:rsidRPr="003E5455" w:rsidRDefault="003E5455" w:rsidP="00966D89">
            <w:pPr>
              <w:autoSpaceDE w:val="0"/>
              <w:autoSpaceDN w:val="0"/>
              <w:adjustRightInd w:val="0"/>
              <w:ind w:hanging="108"/>
              <w:rPr>
                <w:rFonts w:ascii="Arial" w:hAnsi="Arial" w:cs="Arial"/>
                <w:bCs/>
                <w:lang w:eastAsia="en-US"/>
              </w:rPr>
            </w:pPr>
            <w:r>
              <w:rPr>
                <w:rFonts w:ascii="Arial" w:hAnsi="Arial" w:cs="Arial"/>
                <w:bCs/>
                <w:lang w:eastAsia="en-US"/>
              </w:rPr>
              <w:t>NatWest</w:t>
            </w:r>
          </w:p>
        </w:tc>
        <w:tc>
          <w:tcPr>
            <w:tcW w:w="1934" w:type="dxa"/>
          </w:tcPr>
          <w:p w14:paraId="573CADC7" w14:textId="77777777" w:rsidR="003E5455" w:rsidRPr="003E5455" w:rsidRDefault="000803E7" w:rsidP="000803E7">
            <w:pPr>
              <w:pStyle w:val="PlainText"/>
              <w:ind w:firstLine="720"/>
              <w:jc w:val="right"/>
              <w:rPr>
                <w:rFonts w:ascii="Arial" w:hAnsi="Arial" w:cs="Arial"/>
                <w:bCs/>
                <w:sz w:val="24"/>
                <w:szCs w:val="24"/>
                <w:lang w:eastAsia="en-US"/>
              </w:rPr>
            </w:pPr>
            <w:r>
              <w:rPr>
                <w:rFonts w:ascii="Arial" w:hAnsi="Arial" w:cs="Arial"/>
                <w:bCs/>
                <w:sz w:val="24"/>
                <w:szCs w:val="24"/>
                <w:lang w:eastAsia="en-US"/>
              </w:rPr>
              <w:t>£0.90m</w:t>
            </w:r>
          </w:p>
        </w:tc>
      </w:tr>
      <w:tr w:rsidR="00D06356" w14:paraId="074C3F33" w14:textId="77777777" w:rsidTr="00966D89">
        <w:tc>
          <w:tcPr>
            <w:tcW w:w="6374" w:type="dxa"/>
          </w:tcPr>
          <w:p w14:paraId="2463DE11" w14:textId="77777777" w:rsidR="00D06356" w:rsidRPr="00746488" w:rsidRDefault="00D06356" w:rsidP="00966D89">
            <w:pPr>
              <w:autoSpaceDE w:val="0"/>
              <w:autoSpaceDN w:val="0"/>
              <w:adjustRightInd w:val="0"/>
              <w:ind w:hanging="108"/>
              <w:rPr>
                <w:rFonts w:ascii="Arial" w:hAnsi="Arial" w:cs="Arial"/>
                <w:lang w:eastAsia="en-US"/>
              </w:rPr>
            </w:pPr>
            <w:r w:rsidRPr="00746488">
              <w:rPr>
                <w:rFonts w:ascii="Arial" w:hAnsi="Arial" w:cs="Arial"/>
                <w:b/>
                <w:bCs/>
                <w:lang w:eastAsia="en-US"/>
              </w:rPr>
              <w:t>Total</w:t>
            </w:r>
          </w:p>
        </w:tc>
        <w:tc>
          <w:tcPr>
            <w:tcW w:w="1934" w:type="dxa"/>
            <w:vAlign w:val="center"/>
          </w:tcPr>
          <w:p w14:paraId="25B7628B" w14:textId="0E99E546" w:rsidR="00D06356" w:rsidRPr="002304D6" w:rsidRDefault="00D06356" w:rsidP="002304D6">
            <w:pPr>
              <w:pStyle w:val="PlainText"/>
              <w:ind w:firstLine="720"/>
              <w:jc w:val="right"/>
              <w:rPr>
                <w:rFonts w:ascii="Arial" w:hAnsi="Arial" w:cs="Arial"/>
                <w:sz w:val="24"/>
                <w:szCs w:val="24"/>
                <w:lang w:eastAsia="en-US"/>
              </w:rPr>
            </w:pPr>
            <w:r w:rsidRPr="00746488">
              <w:rPr>
                <w:rFonts w:ascii="Arial" w:hAnsi="Arial" w:cs="Arial"/>
                <w:b/>
                <w:bCs/>
                <w:sz w:val="24"/>
                <w:szCs w:val="24"/>
                <w:lang w:eastAsia="en-US"/>
              </w:rPr>
              <w:t>£</w:t>
            </w:r>
            <w:r w:rsidR="00A67D2F" w:rsidRPr="00746488">
              <w:rPr>
                <w:rFonts w:ascii="Arial" w:hAnsi="Arial" w:cs="Arial"/>
                <w:b/>
                <w:bCs/>
                <w:sz w:val="24"/>
                <w:szCs w:val="24"/>
                <w:lang w:eastAsia="en-US"/>
              </w:rPr>
              <w:t>1</w:t>
            </w:r>
            <w:r w:rsidR="000803E7">
              <w:rPr>
                <w:rFonts w:ascii="Arial" w:hAnsi="Arial" w:cs="Arial"/>
                <w:b/>
                <w:bCs/>
                <w:sz w:val="24"/>
                <w:szCs w:val="24"/>
                <w:lang w:eastAsia="en-US"/>
              </w:rPr>
              <w:t>8.07</w:t>
            </w:r>
            <w:r w:rsidRPr="00746488">
              <w:rPr>
                <w:rFonts w:ascii="Arial" w:hAnsi="Arial" w:cs="Arial"/>
                <w:b/>
                <w:bCs/>
                <w:sz w:val="24"/>
                <w:szCs w:val="24"/>
                <w:lang w:eastAsia="en-US"/>
              </w:rPr>
              <w:t>m</w:t>
            </w:r>
          </w:p>
        </w:tc>
      </w:tr>
    </w:tbl>
    <w:p w14:paraId="13212CB2" w14:textId="77777777" w:rsidR="00DC01EF" w:rsidRPr="00320943" w:rsidRDefault="00DC01EF" w:rsidP="00DC01EF">
      <w:pPr>
        <w:pStyle w:val="PlainText"/>
        <w:ind w:firstLine="720"/>
        <w:rPr>
          <w:rFonts w:ascii="Arial" w:hAnsi="Arial" w:cs="Arial"/>
          <w:sz w:val="24"/>
          <w:szCs w:val="24"/>
        </w:rPr>
      </w:pPr>
    </w:p>
    <w:p w14:paraId="7ABC5FBC" w14:textId="77777777" w:rsidR="00F72E0D" w:rsidRDefault="00117B5F" w:rsidP="00341866">
      <w:pPr>
        <w:pStyle w:val="sssubhead1"/>
      </w:pPr>
      <w:r>
        <w:t xml:space="preserve">Financial Implications </w:t>
      </w:r>
    </w:p>
    <w:p w14:paraId="27B19C8B" w14:textId="77777777" w:rsidR="00F72E0D" w:rsidRPr="00320943" w:rsidRDefault="00F72E0D" w:rsidP="00F72E0D">
      <w:pPr>
        <w:widowControl w:val="0"/>
        <w:rPr>
          <w:rFonts w:ascii="Arial" w:hAnsi="Arial" w:cs="Arial"/>
          <w:snapToGrid w:val="0"/>
          <w:lang w:eastAsia="en-US"/>
        </w:rPr>
      </w:pPr>
    </w:p>
    <w:p w14:paraId="63CF540A" w14:textId="77777777" w:rsidR="00F72E0D" w:rsidRPr="008B290F" w:rsidRDefault="008B290F" w:rsidP="00F72E0D">
      <w:pPr>
        <w:widowControl w:val="0"/>
        <w:ind w:left="720"/>
        <w:rPr>
          <w:rFonts w:ascii="Arial" w:hAnsi="Arial" w:cs="Arial"/>
          <w:snapToGrid w:val="0"/>
          <w:lang w:eastAsia="en-US"/>
        </w:rPr>
      </w:pPr>
      <w:r w:rsidRPr="008B290F">
        <w:rPr>
          <w:rFonts w:ascii="Arial" w:hAnsi="Arial" w:cs="Arial"/>
          <w:lang w:eastAsia="en-US"/>
        </w:rPr>
        <w:t>The financial implications are as set out in the main body of the report.</w:t>
      </w:r>
    </w:p>
    <w:p w14:paraId="23D7F1C8" w14:textId="77777777" w:rsidR="00F72E0D" w:rsidRPr="00320943" w:rsidRDefault="00F72E0D" w:rsidP="00F72E0D">
      <w:pPr>
        <w:widowControl w:val="0"/>
        <w:rPr>
          <w:rFonts w:ascii="Arial" w:hAnsi="Arial" w:cs="Arial"/>
          <w:snapToGrid w:val="0"/>
          <w:lang w:eastAsia="en-US"/>
        </w:rPr>
      </w:pPr>
    </w:p>
    <w:p w14:paraId="2E633995" w14:textId="77777777" w:rsidR="00591426" w:rsidRDefault="00591426" w:rsidP="00341866">
      <w:pPr>
        <w:pStyle w:val="sssubhead1"/>
        <w:rPr>
          <w:snapToGrid w:val="0"/>
        </w:rPr>
      </w:pPr>
      <w:r>
        <w:rPr>
          <w:snapToGrid w:val="0"/>
        </w:rPr>
        <w:t>Legal Comment</w:t>
      </w:r>
    </w:p>
    <w:p w14:paraId="2FA4DE40" w14:textId="77777777" w:rsidR="00591426" w:rsidRPr="00320943" w:rsidRDefault="00591426" w:rsidP="00F72E0D">
      <w:pPr>
        <w:widowControl w:val="0"/>
        <w:rPr>
          <w:rFonts w:ascii="Arial" w:hAnsi="Arial" w:cs="Arial"/>
          <w:snapToGrid w:val="0"/>
          <w:lang w:eastAsia="en-US"/>
        </w:rPr>
      </w:pPr>
    </w:p>
    <w:p w14:paraId="62EEFDE9" w14:textId="77777777" w:rsidR="00591426" w:rsidRPr="0071686E" w:rsidRDefault="008B290F" w:rsidP="00F72E0D">
      <w:pPr>
        <w:widowControl w:val="0"/>
        <w:ind w:left="720"/>
        <w:rPr>
          <w:rFonts w:ascii="Arial" w:hAnsi="Arial" w:cs="Arial"/>
          <w:snapToGrid w:val="0"/>
          <w:lang w:eastAsia="en-US"/>
        </w:rPr>
      </w:pPr>
      <w:r w:rsidRPr="008B290F">
        <w:rPr>
          <w:rFonts w:ascii="Arial" w:hAnsi="Arial" w:cs="Arial"/>
          <w:lang w:eastAsia="en-US"/>
        </w:rPr>
        <w:t>There are no direct legal implications arising from this report.</w:t>
      </w:r>
      <w:r w:rsidR="007B08DA" w:rsidRPr="007B08DA">
        <w:rPr>
          <w:rFonts w:ascii="Arial" w:hAnsi="Arial" w:cs="Arial"/>
          <w:snapToGrid w:val="0"/>
          <w:color w:val="FF0000"/>
          <w:lang w:eastAsia="en-US"/>
        </w:rPr>
        <w:t xml:space="preserve">  </w:t>
      </w:r>
    </w:p>
    <w:p w14:paraId="058FCA7C" w14:textId="77777777" w:rsidR="009C7FA8" w:rsidRPr="00320943" w:rsidRDefault="009C7FA8" w:rsidP="00F72E0D">
      <w:pPr>
        <w:widowControl w:val="0"/>
        <w:rPr>
          <w:rFonts w:ascii="Arial" w:hAnsi="Arial" w:cs="Arial"/>
          <w:snapToGrid w:val="0"/>
          <w:lang w:eastAsia="en-US"/>
        </w:rPr>
      </w:pPr>
    </w:p>
    <w:p w14:paraId="7857ADAB" w14:textId="77777777" w:rsidR="00F51096" w:rsidRDefault="00F51096" w:rsidP="00341866">
      <w:pPr>
        <w:pStyle w:val="sssubhead1"/>
        <w:rPr>
          <w:snapToGrid w:val="0"/>
        </w:rPr>
      </w:pPr>
      <w:r>
        <w:rPr>
          <w:snapToGrid w:val="0"/>
        </w:rPr>
        <w:lastRenderedPageBreak/>
        <w:t>Initial Impact Assessment</w:t>
      </w:r>
    </w:p>
    <w:p w14:paraId="56AE62EB" w14:textId="77777777" w:rsidR="00F51096" w:rsidRPr="00320943" w:rsidRDefault="00F51096" w:rsidP="00F51096">
      <w:pPr>
        <w:pStyle w:val="PlainText"/>
        <w:ind w:left="709"/>
        <w:rPr>
          <w:rFonts w:ascii="Arial" w:hAnsi="Arial" w:cs="Arial"/>
          <w:sz w:val="24"/>
          <w:szCs w:val="24"/>
          <w:lang w:eastAsia="en-US"/>
        </w:rPr>
      </w:pPr>
    </w:p>
    <w:p w14:paraId="7B15BD7D" w14:textId="77777777" w:rsidR="00F51096" w:rsidRDefault="00966D89" w:rsidP="00F51096">
      <w:pPr>
        <w:pStyle w:val="PlainText"/>
        <w:ind w:left="709"/>
        <w:rPr>
          <w:rFonts w:ascii="Arial" w:hAnsi="Arial" w:cs="Arial"/>
          <w:sz w:val="24"/>
          <w:szCs w:val="24"/>
          <w:lang w:eastAsia="en-US"/>
        </w:rPr>
      </w:pPr>
      <w:r>
        <w:rPr>
          <w:rFonts w:ascii="Arial" w:hAnsi="Arial" w:cs="Arial"/>
          <w:sz w:val="24"/>
          <w:szCs w:val="24"/>
          <w:lang w:eastAsia="en-US"/>
        </w:rPr>
        <w:t>An Initial Impact Assessment has been completed.</w:t>
      </w:r>
    </w:p>
    <w:p w14:paraId="0C1368BD" w14:textId="77777777" w:rsidR="00341866" w:rsidRPr="00320943" w:rsidRDefault="00341866" w:rsidP="00F51096">
      <w:pPr>
        <w:pStyle w:val="PlainText"/>
        <w:ind w:left="709"/>
        <w:rPr>
          <w:rFonts w:ascii="Arial" w:hAnsi="Arial" w:cs="Arial"/>
          <w:sz w:val="24"/>
          <w:szCs w:val="24"/>
          <w:lang w:eastAsia="en-US"/>
        </w:rPr>
      </w:pPr>
    </w:p>
    <w:p w14:paraId="5FA5C5BE" w14:textId="77777777" w:rsidR="005B53B1" w:rsidRPr="00EB4C4A" w:rsidRDefault="00F72E0D" w:rsidP="00341866">
      <w:pPr>
        <w:pStyle w:val="sssubhead1"/>
        <w:rPr>
          <w:snapToGrid w:val="0"/>
        </w:rPr>
      </w:pPr>
      <w:r>
        <w:rPr>
          <w:snapToGrid w:val="0"/>
        </w:rPr>
        <w:t>Appendices</w:t>
      </w:r>
    </w:p>
    <w:p w14:paraId="759FF4DE" w14:textId="77777777" w:rsidR="007B08DA" w:rsidRPr="00716242" w:rsidRDefault="007B08DA" w:rsidP="003B1365">
      <w:pPr>
        <w:widowControl w:val="0"/>
        <w:rPr>
          <w:rFonts w:ascii="Arial" w:hAnsi="Arial" w:cs="Arial"/>
          <w:snapToGrid w:val="0"/>
          <w:lang w:eastAsia="en-US"/>
        </w:rPr>
      </w:pPr>
    </w:p>
    <w:p w14:paraId="1481E99A" w14:textId="77777777" w:rsidR="007B08DA" w:rsidRPr="003B1365" w:rsidRDefault="007B08DA" w:rsidP="003B1365">
      <w:pPr>
        <w:widowControl w:val="0"/>
        <w:ind w:left="720"/>
        <w:rPr>
          <w:rFonts w:ascii="Arial" w:hAnsi="Arial" w:cs="Arial"/>
          <w:snapToGrid w:val="0"/>
          <w:lang w:eastAsia="en-US"/>
        </w:rPr>
      </w:pPr>
      <w:r>
        <w:rPr>
          <w:rFonts w:ascii="Arial" w:hAnsi="Arial" w:cs="Arial"/>
          <w:snapToGrid w:val="0"/>
          <w:lang w:eastAsia="en-US"/>
        </w:rPr>
        <w:t>There are no appendices attached to this report</w:t>
      </w:r>
      <w:r w:rsidR="001A493F">
        <w:rPr>
          <w:rFonts w:ascii="Arial" w:hAnsi="Arial" w:cs="Arial"/>
          <w:snapToGrid w:val="0"/>
          <w:lang w:eastAsia="en-US"/>
        </w:rPr>
        <w:t>.</w:t>
      </w:r>
    </w:p>
    <w:p w14:paraId="56EB83A6" w14:textId="77777777" w:rsidR="005B53B1" w:rsidRPr="006D45C8" w:rsidRDefault="005B53B1" w:rsidP="00F72E0D">
      <w:pPr>
        <w:widowControl w:val="0"/>
        <w:rPr>
          <w:rFonts w:ascii="Arial" w:hAnsi="Arial" w:cs="Arial"/>
          <w:snapToGrid w:val="0"/>
          <w:lang w:eastAsia="en-US"/>
        </w:rPr>
      </w:pPr>
    </w:p>
    <w:p w14:paraId="242654D1" w14:textId="77777777" w:rsidR="00591426" w:rsidRPr="00EB4C4A" w:rsidRDefault="00591426" w:rsidP="00341866">
      <w:pPr>
        <w:pStyle w:val="sssubhead1"/>
        <w:rPr>
          <w:snapToGrid w:val="0"/>
        </w:rPr>
      </w:pPr>
      <w:r>
        <w:rPr>
          <w:snapToGrid w:val="0"/>
        </w:rPr>
        <w:t>Background Papers</w:t>
      </w:r>
    </w:p>
    <w:p w14:paraId="6D90A3C6" w14:textId="77777777" w:rsidR="00591426" w:rsidRPr="006D45C8" w:rsidRDefault="00591426" w:rsidP="00F72E0D">
      <w:pPr>
        <w:widowControl w:val="0"/>
        <w:rPr>
          <w:rFonts w:ascii="Arial" w:hAnsi="Arial" w:cs="Arial"/>
          <w:snapToGrid w:val="0"/>
          <w:lang w:eastAsia="en-US"/>
        </w:rPr>
      </w:pPr>
    </w:p>
    <w:p w14:paraId="396C1369" w14:textId="1F70834B" w:rsidR="000D4EEB" w:rsidRPr="00D85225" w:rsidRDefault="001A493F" w:rsidP="002304D6">
      <w:pPr>
        <w:widowControl w:val="0"/>
        <w:ind w:left="720"/>
        <w:rPr>
          <w:rFonts w:ascii="Arial" w:hAnsi="Arial" w:cs="Arial"/>
        </w:rPr>
      </w:pPr>
      <w:r w:rsidRPr="001A493F">
        <w:rPr>
          <w:rFonts w:ascii="Arial" w:hAnsi="Arial" w:cs="Arial"/>
          <w:snapToGrid w:val="0"/>
          <w:lang w:eastAsia="en-US"/>
        </w:rPr>
        <w:t>There are no background papers associated with this report.</w:t>
      </w:r>
    </w:p>
    <w:sectPr w:rsidR="000D4EEB" w:rsidRPr="00D85225" w:rsidSect="005E5141">
      <w:headerReference w:type="even" r:id="rId12"/>
      <w:headerReference w:type="default" r:id="rId13"/>
      <w:footerReference w:type="even" r:id="rId14"/>
      <w:footerReference w:type="default" r:id="rId15"/>
      <w:headerReference w:type="first" r:id="rId16"/>
      <w:footerReference w:type="first" r:id="rId17"/>
      <w:pgSz w:w="11907" w:h="16839" w:code="9"/>
      <w:pgMar w:top="851" w:right="1440" w:bottom="851" w:left="1440" w:header="28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5E8B5" w14:textId="77777777" w:rsidR="00CC0686" w:rsidRDefault="00CC0686">
      <w:r>
        <w:separator/>
      </w:r>
    </w:p>
  </w:endnote>
  <w:endnote w:type="continuationSeparator" w:id="0">
    <w:p w14:paraId="16CB6050" w14:textId="77777777" w:rsidR="00CC0686" w:rsidRDefault="00CC0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DFBE4" w14:textId="77777777" w:rsidR="00C354AE" w:rsidRDefault="00C354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08" w:type="dxa"/>
      <w:tblLook w:val="01E0" w:firstRow="1" w:lastRow="1" w:firstColumn="1" w:lastColumn="1" w:noHBand="0" w:noVBand="0"/>
    </w:tblPr>
    <w:tblGrid>
      <w:gridCol w:w="3190"/>
      <w:gridCol w:w="3190"/>
      <w:gridCol w:w="2728"/>
    </w:tblGrid>
    <w:tr w:rsidR="00347EA5" w:rsidRPr="00271BCC" w14:paraId="4C539FF6" w14:textId="77777777" w:rsidTr="008D2211">
      <w:tc>
        <w:tcPr>
          <w:tcW w:w="3190" w:type="dxa"/>
          <w:vAlign w:val="bottom"/>
        </w:tcPr>
        <w:p w14:paraId="08F7956A" w14:textId="77777777" w:rsidR="00347EA5" w:rsidRDefault="00347EA5" w:rsidP="00347EA5">
          <w:pPr>
            <w:pStyle w:val="Footer"/>
          </w:pPr>
          <w:r>
            <w:rPr>
              <w:noProof/>
            </w:rPr>
            <w:drawing>
              <wp:inline distT="0" distB="0" distL="0" distR="0" wp14:anchorId="5344622F" wp14:editId="017792B3">
                <wp:extent cx="1419225" cy="428625"/>
                <wp:effectExtent l="0" t="0" r="9525" b="9525"/>
                <wp:docPr id="4" name="Picture 4" descr="pssf-12mm-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sf-12mm-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428625"/>
                        </a:xfrm>
                        <a:prstGeom prst="rect">
                          <a:avLst/>
                        </a:prstGeom>
                        <a:noFill/>
                        <a:ln>
                          <a:noFill/>
                        </a:ln>
                      </pic:spPr>
                    </pic:pic>
                  </a:graphicData>
                </a:graphic>
              </wp:inline>
            </w:drawing>
          </w:r>
        </w:p>
      </w:tc>
      <w:tc>
        <w:tcPr>
          <w:tcW w:w="3190" w:type="dxa"/>
          <w:vAlign w:val="bottom"/>
        </w:tcPr>
        <w:p w14:paraId="1D2BBD6E" w14:textId="77777777" w:rsidR="00347EA5" w:rsidRPr="00271BCC" w:rsidRDefault="00347EA5" w:rsidP="00347EA5">
          <w:pPr>
            <w:pStyle w:val="Footer"/>
            <w:jc w:val="center"/>
            <w:rPr>
              <w:rFonts w:ascii="Arial" w:hAnsi="Arial" w:cs="Arial"/>
              <w:sz w:val="20"/>
            </w:rPr>
          </w:pPr>
          <w:r w:rsidRPr="00271BCC">
            <w:rPr>
              <w:rStyle w:val="PageNumber"/>
              <w:rFonts w:ascii="Arial" w:hAnsi="Arial" w:cs="Arial"/>
              <w:sz w:val="20"/>
            </w:rPr>
            <w:fldChar w:fldCharType="begin"/>
          </w:r>
          <w:r w:rsidRPr="00271BCC">
            <w:rPr>
              <w:rStyle w:val="PageNumber"/>
              <w:rFonts w:ascii="Arial" w:hAnsi="Arial" w:cs="Arial"/>
              <w:sz w:val="20"/>
            </w:rPr>
            <w:instrText xml:space="preserve"> PAGE </w:instrText>
          </w:r>
          <w:r w:rsidRPr="00271BCC">
            <w:rPr>
              <w:rStyle w:val="PageNumber"/>
              <w:rFonts w:ascii="Arial" w:hAnsi="Arial" w:cs="Arial"/>
              <w:sz w:val="20"/>
            </w:rPr>
            <w:fldChar w:fldCharType="separate"/>
          </w:r>
          <w:r w:rsidR="00A818B7">
            <w:rPr>
              <w:rStyle w:val="PageNumber"/>
              <w:rFonts w:ascii="Arial" w:hAnsi="Arial" w:cs="Arial"/>
              <w:noProof/>
              <w:sz w:val="20"/>
            </w:rPr>
            <w:t>9</w:t>
          </w:r>
          <w:r w:rsidRPr="00271BCC">
            <w:rPr>
              <w:rStyle w:val="PageNumber"/>
              <w:rFonts w:ascii="Arial" w:hAnsi="Arial" w:cs="Arial"/>
              <w:sz w:val="20"/>
            </w:rPr>
            <w:fldChar w:fldCharType="end"/>
          </w:r>
        </w:p>
      </w:tc>
      <w:tc>
        <w:tcPr>
          <w:tcW w:w="2728" w:type="dxa"/>
          <w:vAlign w:val="bottom"/>
        </w:tcPr>
        <w:p w14:paraId="00EAD756" w14:textId="03102BDB" w:rsidR="00347EA5" w:rsidRPr="00271BCC" w:rsidRDefault="00347EA5" w:rsidP="00C354AE">
          <w:pPr>
            <w:pStyle w:val="Footer"/>
            <w:jc w:val="right"/>
            <w:rPr>
              <w:rFonts w:ascii="Arial" w:hAnsi="Arial" w:cs="Arial"/>
              <w:sz w:val="20"/>
            </w:rPr>
          </w:pPr>
          <w:r w:rsidRPr="00271BCC">
            <w:rPr>
              <w:rFonts w:ascii="Arial" w:hAnsi="Arial" w:cs="Arial"/>
              <w:sz w:val="20"/>
            </w:rPr>
            <w:t>S&amp;R</w:t>
          </w:r>
          <w:r w:rsidR="00C354AE">
            <w:rPr>
              <w:rFonts w:ascii="Arial" w:hAnsi="Arial" w:cs="Arial"/>
              <w:sz w:val="20"/>
            </w:rPr>
            <w:t xml:space="preserve"> 20.11.14</w:t>
          </w:r>
        </w:p>
      </w:tc>
    </w:tr>
  </w:tbl>
  <w:p w14:paraId="3F2C702B" w14:textId="77777777" w:rsidR="00347EA5" w:rsidRDefault="00347E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08" w:type="dxa"/>
      <w:tblLook w:val="01E0" w:firstRow="1" w:lastRow="1" w:firstColumn="1" w:lastColumn="1" w:noHBand="0" w:noVBand="0"/>
    </w:tblPr>
    <w:tblGrid>
      <w:gridCol w:w="3190"/>
      <w:gridCol w:w="3190"/>
      <w:gridCol w:w="2728"/>
    </w:tblGrid>
    <w:tr w:rsidR="00347EA5" w:rsidRPr="00271BCC" w14:paraId="2191D1FA" w14:textId="77777777" w:rsidTr="008D2211">
      <w:tc>
        <w:tcPr>
          <w:tcW w:w="3190" w:type="dxa"/>
          <w:vAlign w:val="bottom"/>
        </w:tcPr>
        <w:p w14:paraId="725A9A8B" w14:textId="77777777" w:rsidR="00347EA5" w:rsidRDefault="00347EA5" w:rsidP="00347EA5">
          <w:pPr>
            <w:pStyle w:val="Footer"/>
          </w:pPr>
          <w:r>
            <w:rPr>
              <w:noProof/>
            </w:rPr>
            <w:drawing>
              <wp:inline distT="0" distB="0" distL="0" distR="0" wp14:anchorId="63438689" wp14:editId="308D27BD">
                <wp:extent cx="1419225" cy="428625"/>
                <wp:effectExtent l="0" t="0" r="9525" b="9525"/>
                <wp:docPr id="3" name="Picture 3" descr="pssf-12mm-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sf-12mm-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428625"/>
                        </a:xfrm>
                        <a:prstGeom prst="rect">
                          <a:avLst/>
                        </a:prstGeom>
                        <a:noFill/>
                        <a:ln>
                          <a:noFill/>
                        </a:ln>
                      </pic:spPr>
                    </pic:pic>
                  </a:graphicData>
                </a:graphic>
              </wp:inline>
            </w:drawing>
          </w:r>
        </w:p>
      </w:tc>
      <w:tc>
        <w:tcPr>
          <w:tcW w:w="3190" w:type="dxa"/>
          <w:vAlign w:val="bottom"/>
        </w:tcPr>
        <w:p w14:paraId="18E7B611" w14:textId="77777777" w:rsidR="00347EA5" w:rsidRPr="00271BCC" w:rsidRDefault="00347EA5" w:rsidP="00347EA5">
          <w:pPr>
            <w:pStyle w:val="Footer"/>
            <w:jc w:val="center"/>
            <w:rPr>
              <w:rFonts w:ascii="Arial" w:hAnsi="Arial" w:cs="Arial"/>
              <w:sz w:val="20"/>
            </w:rPr>
          </w:pPr>
          <w:r w:rsidRPr="00271BCC">
            <w:rPr>
              <w:rStyle w:val="PageNumber"/>
              <w:rFonts w:ascii="Arial" w:hAnsi="Arial" w:cs="Arial"/>
              <w:sz w:val="20"/>
            </w:rPr>
            <w:fldChar w:fldCharType="begin"/>
          </w:r>
          <w:r w:rsidRPr="00271BCC">
            <w:rPr>
              <w:rStyle w:val="PageNumber"/>
              <w:rFonts w:ascii="Arial" w:hAnsi="Arial" w:cs="Arial"/>
              <w:sz w:val="20"/>
            </w:rPr>
            <w:instrText xml:space="preserve"> PAGE </w:instrText>
          </w:r>
          <w:r w:rsidRPr="00271BCC">
            <w:rPr>
              <w:rStyle w:val="PageNumber"/>
              <w:rFonts w:ascii="Arial" w:hAnsi="Arial" w:cs="Arial"/>
              <w:sz w:val="20"/>
            </w:rPr>
            <w:fldChar w:fldCharType="separate"/>
          </w:r>
          <w:r w:rsidR="00A818B7">
            <w:rPr>
              <w:rStyle w:val="PageNumber"/>
              <w:rFonts w:ascii="Arial" w:hAnsi="Arial" w:cs="Arial"/>
              <w:noProof/>
              <w:sz w:val="20"/>
            </w:rPr>
            <w:t>1</w:t>
          </w:r>
          <w:r w:rsidRPr="00271BCC">
            <w:rPr>
              <w:rStyle w:val="PageNumber"/>
              <w:rFonts w:ascii="Arial" w:hAnsi="Arial" w:cs="Arial"/>
              <w:sz w:val="20"/>
            </w:rPr>
            <w:fldChar w:fldCharType="end"/>
          </w:r>
        </w:p>
      </w:tc>
      <w:tc>
        <w:tcPr>
          <w:tcW w:w="2728" w:type="dxa"/>
          <w:vAlign w:val="bottom"/>
        </w:tcPr>
        <w:p w14:paraId="1F01C290" w14:textId="3EB7F72B" w:rsidR="00347EA5" w:rsidRPr="00271BCC" w:rsidRDefault="00347EA5" w:rsidP="00C354AE">
          <w:pPr>
            <w:pStyle w:val="Footer"/>
            <w:jc w:val="right"/>
            <w:rPr>
              <w:rFonts w:ascii="Arial" w:hAnsi="Arial" w:cs="Arial"/>
              <w:sz w:val="20"/>
            </w:rPr>
          </w:pPr>
          <w:r w:rsidRPr="00271BCC">
            <w:rPr>
              <w:rFonts w:ascii="Arial" w:hAnsi="Arial" w:cs="Arial"/>
              <w:sz w:val="20"/>
            </w:rPr>
            <w:t>S&amp;R</w:t>
          </w:r>
          <w:r>
            <w:rPr>
              <w:rFonts w:ascii="Arial" w:hAnsi="Arial" w:cs="Arial"/>
              <w:sz w:val="20"/>
            </w:rPr>
            <w:t xml:space="preserve"> </w:t>
          </w:r>
          <w:r w:rsidR="00FA6CEB">
            <w:rPr>
              <w:rFonts w:ascii="Arial" w:hAnsi="Arial" w:cs="Arial"/>
              <w:sz w:val="20"/>
            </w:rPr>
            <w:t>20</w:t>
          </w:r>
          <w:r>
            <w:rPr>
              <w:rFonts w:ascii="Arial" w:hAnsi="Arial" w:cs="Arial"/>
              <w:sz w:val="20"/>
            </w:rPr>
            <w:t>.11.1</w:t>
          </w:r>
          <w:r w:rsidR="00FA6CEB">
            <w:rPr>
              <w:rFonts w:ascii="Arial" w:hAnsi="Arial" w:cs="Arial"/>
              <w:sz w:val="20"/>
            </w:rPr>
            <w:t>4</w:t>
          </w:r>
        </w:p>
      </w:tc>
    </w:tr>
  </w:tbl>
  <w:p w14:paraId="7231181E" w14:textId="77777777" w:rsidR="00347EA5" w:rsidRDefault="00347E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6AF35" w14:textId="77777777" w:rsidR="00CC0686" w:rsidRDefault="00CC0686">
      <w:r>
        <w:separator/>
      </w:r>
    </w:p>
  </w:footnote>
  <w:footnote w:type="continuationSeparator" w:id="0">
    <w:p w14:paraId="64482AC5" w14:textId="77777777" w:rsidR="00CC0686" w:rsidRDefault="00CC06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B7DB4" w14:textId="77777777" w:rsidR="00C354AE" w:rsidRDefault="00C354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F8110" w14:textId="77777777" w:rsidR="00F85179" w:rsidRDefault="00D25958" w:rsidP="00F85179">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1005A" w14:textId="09645297" w:rsidR="000D4EEB" w:rsidRPr="00347EA5" w:rsidRDefault="00C354AE" w:rsidP="00347EA5">
    <w:pPr>
      <w:pStyle w:val="Header"/>
      <w:jc w:val="right"/>
      <w:rPr>
        <w:rFonts w:ascii="Arial" w:hAnsi="Arial" w:cs="Arial"/>
        <w:b/>
        <w:sz w:val="144"/>
        <w:szCs w:val="144"/>
      </w:rPr>
    </w:pPr>
    <w:r>
      <w:rPr>
        <w:rFonts w:ascii="Arial" w:hAnsi="Arial" w:cs="Arial"/>
        <w:b/>
        <w:sz w:val="144"/>
        <w:szCs w:val="144"/>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523A9"/>
    <w:multiLevelType w:val="hybridMultilevel"/>
    <w:tmpl w:val="5F6ADCE2"/>
    <w:lvl w:ilvl="0" w:tplc="2FD45B7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20B1430"/>
    <w:multiLevelType w:val="hybridMultilevel"/>
    <w:tmpl w:val="53902892"/>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nsid w:val="054558DB"/>
    <w:multiLevelType w:val="hybridMultilevel"/>
    <w:tmpl w:val="2090B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F848D5"/>
    <w:multiLevelType w:val="hybridMultilevel"/>
    <w:tmpl w:val="CFFEF954"/>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E266EFB"/>
    <w:multiLevelType w:val="hybridMultilevel"/>
    <w:tmpl w:val="B668486C"/>
    <w:lvl w:ilvl="0" w:tplc="71368C52">
      <w:start w:val="5"/>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nsid w:val="0F130405"/>
    <w:multiLevelType w:val="singleLevel"/>
    <w:tmpl w:val="26D2A89C"/>
    <w:lvl w:ilvl="0">
      <w:start w:val="1"/>
      <w:numFmt w:val="decimal"/>
      <w:lvlText w:val="%1"/>
      <w:lvlJc w:val="left"/>
      <w:pPr>
        <w:tabs>
          <w:tab w:val="num" w:pos="720"/>
        </w:tabs>
        <w:ind w:left="720" w:hanging="720"/>
      </w:pPr>
      <w:rPr>
        <w:rFonts w:hint="default"/>
      </w:rPr>
    </w:lvl>
  </w:abstractNum>
  <w:abstractNum w:abstractNumId="6">
    <w:nsid w:val="1214498F"/>
    <w:multiLevelType w:val="hybridMultilevel"/>
    <w:tmpl w:val="84203952"/>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B617DBF"/>
    <w:multiLevelType w:val="hybridMultilevel"/>
    <w:tmpl w:val="D11479C6"/>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4F27E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7727E94"/>
    <w:multiLevelType w:val="hybridMultilevel"/>
    <w:tmpl w:val="8DC8972C"/>
    <w:lvl w:ilvl="0" w:tplc="18A86C52">
      <w:start w:val="1"/>
      <w:numFmt w:val="bullet"/>
      <w:lvlText w:val=""/>
      <w:lvlJc w:val="left"/>
      <w:pPr>
        <w:tabs>
          <w:tab w:val="num" w:pos="0"/>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1DD2E28"/>
    <w:multiLevelType w:val="hybridMultilevel"/>
    <w:tmpl w:val="EE7CC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3CF3C11"/>
    <w:multiLevelType w:val="hybridMultilevel"/>
    <w:tmpl w:val="4E4E5CDC"/>
    <w:lvl w:ilvl="0" w:tplc="E24E7F1A">
      <w:start w:val="1"/>
      <w:numFmt w:val="decimal"/>
      <w:pStyle w:val="sssubhead1"/>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nsid w:val="37237187"/>
    <w:multiLevelType w:val="hybridMultilevel"/>
    <w:tmpl w:val="308850F2"/>
    <w:lvl w:ilvl="0" w:tplc="C00062D6">
      <w:start w:val="1"/>
      <w:numFmt w:val="decimal"/>
      <w:lvlText w:val="%1)"/>
      <w:lvlJc w:val="left"/>
      <w:pPr>
        <w:tabs>
          <w:tab w:val="num" w:pos="720"/>
        </w:tabs>
        <w:ind w:left="720" w:hanging="360"/>
      </w:pPr>
      <w:rPr>
        <w:rFonts w:hint="default"/>
        <w:b/>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2724435"/>
    <w:multiLevelType w:val="hybridMultilevel"/>
    <w:tmpl w:val="36EA1604"/>
    <w:lvl w:ilvl="0" w:tplc="0809000F">
      <w:start w:val="1"/>
      <w:numFmt w:val="decimal"/>
      <w:lvlText w:val="%1."/>
      <w:lvlJc w:val="left"/>
      <w:pPr>
        <w:ind w:left="720" w:hanging="360"/>
      </w:pPr>
      <w:rPr>
        <w:rFont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5B0373C"/>
    <w:multiLevelType w:val="hybridMultilevel"/>
    <w:tmpl w:val="95429D32"/>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5B61492"/>
    <w:multiLevelType w:val="hybridMultilevel"/>
    <w:tmpl w:val="C95EA79A"/>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46F32D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A29414B"/>
    <w:multiLevelType w:val="hybridMultilevel"/>
    <w:tmpl w:val="485E9BD4"/>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39B2F28"/>
    <w:multiLevelType w:val="hybridMultilevel"/>
    <w:tmpl w:val="EB9EA6C4"/>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A7866BF"/>
    <w:multiLevelType w:val="hybridMultilevel"/>
    <w:tmpl w:val="0928BDB0"/>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688C1D5B"/>
    <w:multiLevelType w:val="hybridMultilevel"/>
    <w:tmpl w:val="5066EDF6"/>
    <w:lvl w:ilvl="0" w:tplc="A51CAB6A">
      <w:start w:val="1"/>
      <w:numFmt w:val="lowerLetter"/>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nsid w:val="68F25E5E"/>
    <w:multiLevelType w:val="hybridMultilevel"/>
    <w:tmpl w:val="286C2CBA"/>
    <w:lvl w:ilvl="0" w:tplc="FFFFFFFF">
      <w:start w:val="1"/>
      <w:numFmt w:val="bullet"/>
      <w:lvlText w:val=""/>
      <w:lvlJc w:val="left"/>
      <w:pPr>
        <w:tabs>
          <w:tab w:val="num" w:pos="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68FC5EB2"/>
    <w:multiLevelType w:val="hybridMultilevel"/>
    <w:tmpl w:val="1B285312"/>
    <w:lvl w:ilvl="0" w:tplc="FFFFFFFF">
      <w:start w:val="1"/>
      <w:numFmt w:val="bullet"/>
      <w:lvlText w:val=""/>
      <w:lvlJc w:val="left"/>
      <w:pPr>
        <w:tabs>
          <w:tab w:val="num" w:pos="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6DA35C2D"/>
    <w:multiLevelType w:val="hybridMultilevel"/>
    <w:tmpl w:val="9EF0F2B2"/>
    <w:lvl w:ilvl="0" w:tplc="4F94423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7CAC1BBB"/>
    <w:multiLevelType w:val="hybridMultilevel"/>
    <w:tmpl w:val="7BA85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D366220"/>
    <w:multiLevelType w:val="hybridMultilevel"/>
    <w:tmpl w:val="42AE6900"/>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E2F1B1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7"/>
  </w:num>
  <w:num w:numId="3">
    <w:abstractNumId w:val="14"/>
  </w:num>
  <w:num w:numId="4">
    <w:abstractNumId w:val="25"/>
  </w:num>
  <w:num w:numId="5">
    <w:abstractNumId w:val="18"/>
  </w:num>
  <w:num w:numId="6">
    <w:abstractNumId w:val="15"/>
  </w:num>
  <w:num w:numId="7">
    <w:abstractNumId w:val="9"/>
  </w:num>
  <w:num w:numId="8">
    <w:abstractNumId w:val="22"/>
  </w:num>
  <w:num w:numId="9">
    <w:abstractNumId w:val="19"/>
  </w:num>
  <w:num w:numId="10">
    <w:abstractNumId w:val="26"/>
  </w:num>
  <w:num w:numId="11">
    <w:abstractNumId w:val="16"/>
  </w:num>
  <w:num w:numId="12">
    <w:abstractNumId w:val="8"/>
  </w:num>
  <w:num w:numId="13">
    <w:abstractNumId w:val="7"/>
  </w:num>
  <w:num w:numId="14">
    <w:abstractNumId w:val="3"/>
  </w:num>
  <w:num w:numId="15">
    <w:abstractNumId w:val="21"/>
  </w:num>
  <w:num w:numId="16">
    <w:abstractNumId w:val="6"/>
  </w:num>
  <w:num w:numId="17">
    <w:abstractNumId w:val="2"/>
  </w:num>
  <w:num w:numId="18">
    <w:abstractNumId w:val="12"/>
  </w:num>
  <w:num w:numId="19">
    <w:abstractNumId w:val="10"/>
  </w:num>
  <w:num w:numId="20">
    <w:abstractNumId w:val="24"/>
  </w:num>
  <w:num w:numId="21">
    <w:abstractNumId w:val="23"/>
  </w:num>
  <w:num w:numId="22">
    <w:abstractNumId w:val="11"/>
  </w:num>
  <w:num w:numId="23">
    <w:abstractNumId w:val="13"/>
  </w:num>
  <w:num w:numId="24">
    <w:abstractNumId w:val="0"/>
  </w:num>
  <w:num w:numId="25">
    <w:abstractNumId w:val="1"/>
  </w:num>
  <w:num w:numId="26">
    <w:abstractNumId w:val="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686"/>
    <w:rsid w:val="00006E0E"/>
    <w:rsid w:val="00020B40"/>
    <w:rsid w:val="00027B51"/>
    <w:rsid w:val="0003539A"/>
    <w:rsid w:val="00055E65"/>
    <w:rsid w:val="00056BC8"/>
    <w:rsid w:val="00057B69"/>
    <w:rsid w:val="00067D30"/>
    <w:rsid w:val="00071751"/>
    <w:rsid w:val="00071AF4"/>
    <w:rsid w:val="00071C80"/>
    <w:rsid w:val="0007411D"/>
    <w:rsid w:val="000803E7"/>
    <w:rsid w:val="000975D5"/>
    <w:rsid w:val="000B57C9"/>
    <w:rsid w:val="000B5822"/>
    <w:rsid w:val="000C77B2"/>
    <w:rsid w:val="000D1AF2"/>
    <w:rsid w:val="000D4EEB"/>
    <w:rsid w:val="00104D4A"/>
    <w:rsid w:val="001104AC"/>
    <w:rsid w:val="00111D47"/>
    <w:rsid w:val="00117B5F"/>
    <w:rsid w:val="00123DAC"/>
    <w:rsid w:val="0014612A"/>
    <w:rsid w:val="00153375"/>
    <w:rsid w:val="00155B17"/>
    <w:rsid w:val="00174455"/>
    <w:rsid w:val="00176A52"/>
    <w:rsid w:val="00181FED"/>
    <w:rsid w:val="00195B8D"/>
    <w:rsid w:val="001A493F"/>
    <w:rsid w:val="001B1B5B"/>
    <w:rsid w:val="001D1437"/>
    <w:rsid w:val="001D30A0"/>
    <w:rsid w:val="001E0E93"/>
    <w:rsid w:val="001E1932"/>
    <w:rsid w:val="00202FD0"/>
    <w:rsid w:val="00206612"/>
    <w:rsid w:val="00214EAE"/>
    <w:rsid w:val="00217242"/>
    <w:rsid w:val="002231CA"/>
    <w:rsid w:val="002304D6"/>
    <w:rsid w:val="00231193"/>
    <w:rsid w:val="00233AA4"/>
    <w:rsid w:val="00237155"/>
    <w:rsid w:val="00244625"/>
    <w:rsid w:val="0025340B"/>
    <w:rsid w:val="0026234D"/>
    <w:rsid w:val="002648AF"/>
    <w:rsid w:val="00265F4A"/>
    <w:rsid w:val="00286199"/>
    <w:rsid w:val="002A3B29"/>
    <w:rsid w:val="002B04D8"/>
    <w:rsid w:val="002C7BA4"/>
    <w:rsid w:val="002E2729"/>
    <w:rsid w:val="002E3507"/>
    <w:rsid w:val="002E7828"/>
    <w:rsid w:val="002F07EF"/>
    <w:rsid w:val="002F3B57"/>
    <w:rsid w:val="00320943"/>
    <w:rsid w:val="00325036"/>
    <w:rsid w:val="00325B82"/>
    <w:rsid w:val="00333710"/>
    <w:rsid w:val="00334B43"/>
    <w:rsid w:val="00336FE6"/>
    <w:rsid w:val="00340BDC"/>
    <w:rsid w:val="00341866"/>
    <w:rsid w:val="00343056"/>
    <w:rsid w:val="003459D8"/>
    <w:rsid w:val="0034645A"/>
    <w:rsid w:val="003468A7"/>
    <w:rsid w:val="00347EA5"/>
    <w:rsid w:val="00375959"/>
    <w:rsid w:val="0038124F"/>
    <w:rsid w:val="0038592B"/>
    <w:rsid w:val="00395F2B"/>
    <w:rsid w:val="003A5CAA"/>
    <w:rsid w:val="003B1365"/>
    <w:rsid w:val="003B6F0B"/>
    <w:rsid w:val="003C3423"/>
    <w:rsid w:val="003D0A3C"/>
    <w:rsid w:val="003E5455"/>
    <w:rsid w:val="003E5A12"/>
    <w:rsid w:val="003E66BB"/>
    <w:rsid w:val="003F2B9C"/>
    <w:rsid w:val="003F3DFF"/>
    <w:rsid w:val="00414D7E"/>
    <w:rsid w:val="00416CA8"/>
    <w:rsid w:val="0042227F"/>
    <w:rsid w:val="00440EF8"/>
    <w:rsid w:val="00441922"/>
    <w:rsid w:val="00441A0D"/>
    <w:rsid w:val="00450C57"/>
    <w:rsid w:val="00451480"/>
    <w:rsid w:val="00457DA6"/>
    <w:rsid w:val="00463E63"/>
    <w:rsid w:val="00466A6A"/>
    <w:rsid w:val="004711A7"/>
    <w:rsid w:val="00471C85"/>
    <w:rsid w:val="00473B69"/>
    <w:rsid w:val="00480908"/>
    <w:rsid w:val="00487E42"/>
    <w:rsid w:val="00491DAE"/>
    <w:rsid w:val="004929A5"/>
    <w:rsid w:val="00493BC8"/>
    <w:rsid w:val="004A0A6B"/>
    <w:rsid w:val="004A0CF1"/>
    <w:rsid w:val="004A510B"/>
    <w:rsid w:val="004A5632"/>
    <w:rsid w:val="004A5F7E"/>
    <w:rsid w:val="004B1BFD"/>
    <w:rsid w:val="004B38B0"/>
    <w:rsid w:val="004B4D9B"/>
    <w:rsid w:val="004B65BC"/>
    <w:rsid w:val="004C5CC4"/>
    <w:rsid w:val="004D005F"/>
    <w:rsid w:val="004D0A4C"/>
    <w:rsid w:val="004E0C2B"/>
    <w:rsid w:val="004F3062"/>
    <w:rsid w:val="004F5D43"/>
    <w:rsid w:val="00501ECF"/>
    <w:rsid w:val="005023AC"/>
    <w:rsid w:val="005027D2"/>
    <w:rsid w:val="00512A2A"/>
    <w:rsid w:val="00512C7D"/>
    <w:rsid w:val="00525A6E"/>
    <w:rsid w:val="005367DA"/>
    <w:rsid w:val="00550BC0"/>
    <w:rsid w:val="00552E1C"/>
    <w:rsid w:val="005531BF"/>
    <w:rsid w:val="00553A7B"/>
    <w:rsid w:val="00561DBC"/>
    <w:rsid w:val="005713C9"/>
    <w:rsid w:val="00576EB3"/>
    <w:rsid w:val="005777A0"/>
    <w:rsid w:val="00580EBD"/>
    <w:rsid w:val="00583711"/>
    <w:rsid w:val="00584804"/>
    <w:rsid w:val="00584B86"/>
    <w:rsid w:val="00586BA6"/>
    <w:rsid w:val="00591426"/>
    <w:rsid w:val="005928FD"/>
    <w:rsid w:val="00597BD1"/>
    <w:rsid w:val="005A75D8"/>
    <w:rsid w:val="005B53B1"/>
    <w:rsid w:val="005B70EF"/>
    <w:rsid w:val="005B76E5"/>
    <w:rsid w:val="005C07FE"/>
    <w:rsid w:val="005C0E78"/>
    <w:rsid w:val="005E5141"/>
    <w:rsid w:val="005E7E09"/>
    <w:rsid w:val="00606F52"/>
    <w:rsid w:val="006206E3"/>
    <w:rsid w:val="0062384A"/>
    <w:rsid w:val="00624C7C"/>
    <w:rsid w:val="00651999"/>
    <w:rsid w:val="0065556B"/>
    <w:rsid w:val="00656BA2"/>
    <w:rsid w:val="00656C38"/>
    <w:rsid w:val="00660121"/>
    <w:rsid w:val="00662B17"/>
    <w:rsid w:val="0068347E"/>
    <w:rsid w:val="006841B7"/>
    <w:rsid w:val="006944BA"/>
    <w:rsid w:val="006A0A23"/>
    <w:rsid w:val="006B589E"/>
    <w:rsid w:val="006C09C1"/>
    <w:rsid w:val="006D27D3"/>
    <w:rsid w:val="006D45C8"/>
    <w:rsid w:val="006D4F01"/>
    <w:rsid w:val="006D63FD"/>
    <w:rsid w:val="006E4E73"/>
    <w:rsid w:val="006E73CA"/>
    <w:rsid w:val="00716242"/>
    <w:rsid w:val="0071686E"/>
    <w:rsid w:val="0073120A"/>
    <w:rsid w:val="00742C28"/>
    <w:rsid w:val="00743690"/>
    <w:rsid w:val="0074468C"/>
    <w:rsid w:val="00746488"/>
    <w:rsid w:val="007541C6"/>
    <w:rsid w:val="00754384"/>
    <w:rsid w:val="00761210"/>
    <w:rsid w:val="00765C9F"/>
    <w:rsid w:val="00777504"/>
    <w:rsid w:val="007821C2"/>
    <w:rsid w:val="00790F6D"/>
    <w:rsid w:val="00793B93"/>
    <w:rsid w:val="007B08DA"/>
    <w:rsid w:val="007B10F9"/>
    <w:rsid w:val="007D7800"/>
    <w:rsid w:val="007F6706"/>
    <w:rsid w:val="007F7748"/>
    <w:rsid w:val="00804322"/>
    <w:rsid w:val="00811856"/>
    <w:rsid w:val="00823681"/>
    <w:rsid w:val="00830F70"/>
    <w:rsid w:val="008329DD"/>
    <w:rsid w:val="008360E8"/>
    <w:rsid w:val="00841033"/>
    <w:rsid w:val="00846D21"/>
    <w:rsid w:val="008507A9"/>
    <w:rsid w:val="00865BDD"/>
    <w:rsid w:val="008735E3"/>
    <w:rsid w:val="00880C79"/>
    <w:rsid w:val="00883A23"/>
    <w:rsid w:val="0089249A"/>
    <w:rsid w:val="008A2311"/>
    <w:rsid w:val="008B11EF"/>
    <w:rsid w:val="008B290F"/>
    <w:rsid w:val="008B40C5"/>
    <w:rsid w:val="008C14A0"/>
    <w:rsid w:val="008C1C3A"/>
    <w:rsid w:val="008E3D8D"/>
    <w:rsid w:val="008E79C2"/>
    <w:rsid w:val="008F561B"/>
    <w:rsid w:val="0090050F"/>
    <w:rsid w:val="009006D3"/>
    <w:rsid w:val="00922173"/>
    <w:rsid w:val="00923FF4"/>
    <w:rsid w:val="00926B11"/>
    <w:rsid w:val="00932914"/>
    <w:rsid w:val="00935DF4"/>
    <w:rsid w:val="00943752"/>
    <w:rsid w:val="00951ECA"/>
    <w:rsid w:val="00957AF1"/>
    <w:rsid w:val="00966814"/>
    <w:rsid w:val="00966D89"/>
    <w:rsid w:val="00975DC4"/>
    <w:rsid w:val="009764BF"/>
    <w:rsid w:val="009812BD"/>
    <w:rsid w:val="0098276F"/>
    <w:rsid w:val="009908BA"/>
    <w:rsid w:val="00991660"/>
    <w:rsid w:val="009A0305"/>
    <w:rsid w:val="009A425F"/>
    <w:rsid w:val="009A6D03"/>
    <w:rsid w:val="009B4A7A"/>
    <w:rsid w:val="009C4E0F"/>
    <w:rsid w:val="009C634A"/>
    <w:rsid w:val="009C6355"/>
    <w:rsid w:val="009C7FA8"/>
    <w:rsid w:val="009E1DD1"/>
    <w:rsid w:val="009F0AF2"/>
    <w:rsid w:val="009F6287"/>
    <w:rsid w:val="00A009D5"/>
    <w:rsid w:val="00A04037"/>
    <w:rsid w:val="00A04DD2"/>
    <w:rsid w:val="00A0561C"/>
    <w:rsid w:val="00A059E8"/>
    <w:rsid w:val="00A06565"/>
    <w:rsid w:val="00A20DAB"/>
    <w:rsid w:val="00A217D9"/>
    <w:rsid w:val="00A37EB7"/>
    <w:rsid w:val="00A414D8"/>
    <w:rsid w:val="00A43B48"/>
    <w:rsid w:val="00A5564D"/>
    <w:rsid w:val="00A61944"/>
    <w:rsid w:val="00A64E0E"/>
    <w:rsid w:val="00A652CB"/>
    <w:rsid w:val="00A66DB8"/>
    <w:rsid w:val="00A67D2F"/>
    <w:rsid w:val="00A76EF1"/>
    <w:rsid w:val="00A818B7"/>
    <w:rsid w:val="00A97A31"/>
    <w:rsid w:val="00AB0CCE"/>
    <w:rsid w:val="00AF0316"/>
    <w:rsid w:val="00AF44A4"/>
    <w:rsid w:val="00AF71A3"/>
    <w:rsid w:val="00B054EF"/>
    <w:rsid w:val="00B431F6"/>
    <w:rsid w:val="00B43E8C"/>
    <w:rsid w:val="00B45D89"/>
    <w:rsid w:val="00B51553"/>
    <w:rsid w:val="00B539CF"/>
    <w:rsid w:val="00B56E6C"/>
    <w:rsid w:val="00B608AF"/>
    <w:rsid w:val="00B60993"/>
    <w:rsid w:val="00B66150"/>
    <w:rsid w:val="00B75422"/>
    <w:rsid w:val="00B80F0B"/>
    <w:rsid w:val="00B817E7"/>
    <w:rsid w:val="00B86EDE"/>
    <w:rsid w:val="00B91F5F"/>
    <w:rsid w:val="00B97F8F"/>
    <w:rsid w:val="00BA12EF"/>
    <w:rsid w:val="00BA577D"/>
    <w:rsid w:val="00BA6DFE"/>
    <w:rsid w:val="00BB4253"/>
    <w:rsid w:val="00BC093C"/>
    <w:rsid w:val="00BD07F8"/>
    <w:rsid w:val="00BD6DDA"/>
    <w:rsid w:val="00BE0B6A"/>
    <w:rsid w:val="00BE4057"/>
    <w:rsid w:val="00BE5C14"/>
    <w:rsid w:val="00BF14B6"/>
    <w:rsid w:val="00BF59FB"/>
    <w:rsid w:val="00BF6300"/>
    <w:rsid w:val="00BF6FDE"/>
    <w:rsid w:val="00BF7F46"/>
    <w:rsid w:val="00C01186"/>
    <w:rsid w:val="00C1034D"/>
    <w:rsid w:val="00C21828"/>
    <w:rsid w:val="00C274E6"/>
    <w:rsid w:val="00C310FC"/>
    <w:rsid w:val="00C32518"/>
    <w:rsid w:val="00C34397"/>
    <w:rsid w:val="00C354AE"/>
    <w:rsid w:val="00C36C04"/>
    <w:rsid w:val="00C53E0F"/>
    <w:rsid w:val="00C5656F"/>
    <w:rsid w:val="00C63635"/>
    <w:rsid w:val="00C71832"/>
    <w:rsid w:val="00C74D95"/>
    <w:rsid w:val="00C76102"/>
    <w:rsid w:val="00C7712E"/>
    <w:rsid w:val="00C87EF8"/>
    <w:rsid w:val="00C90682"/>
    <w:rsid w:val="00CA05D6"/>
    <w:rsid w:val="00CA588F"/>
    <w:rsid w:val="00CC0016"/>
    <w:rsid w:val="00CC0686"/>
    <w:rsid w:val="00CC1AF0"/>
    <w:rsid w:val="00CC21A3"/>
    <w:rsid w:val="00CC66FB"/>
    <w:rsid w:val="00CD6E25"/>
    <w:rsid w:val="00CD7850"/>
    <w:rsid w:val="00CE1418"/>
    <w:rsid w:val="00CE2329"/>
    <w:rsid w:val="00CF2200"/>
    <w:rsid w:val="00D06300"/>
    <w:rsid w:val="00D06356"/>
    <w:rsid w:val="00D079C6"/>
    <w:rsid w:val="00D14B98"/>
    <w:rsid w:val="00D23903"/>
    <w:rsid w:val="00D23E3E"/>
    <w:rsid w:val="00D4623A"/>
    <w:rsid w:val="00D46B88"/>
    <w:rsid w:val="00D47746"/>
    <w:rsid w:val="00D47ECC"/>
    <w:rsid w:val="00D564D7"/>
    <w:rsid w:val="00D623CA"/>
    <w:rsid w:val="00D65102"/>
    <w:rsid w:val="00D67431"/>
    <w:rsid w:val="00D73D1C"/>
    <w:rsid w:val="00D7657F"/>
    <w:rsid w:val="00D77895"/>
    <w:rsid w:val="00D8014A"/>
    <w:rsid w:val="00D82C33"/>
    <w:rsid w:val="00D8427B"/>
    <w:rsid w:val="00D860E9"/>
    <w:rsid w:val="00D86E93"/>
    <w:rsid w:val="00D96096"/>
    <w:rsid w:val="00DA22BB"/>
    <w:rsid w:val="00DB2231"/>
    <w:rsid w:val="00DB27E1"/>
    <w:rsid w:val="00DB513F"/>
    <w:rsid w:val="00DC01EF"/>
    <w:rsid w:val="00DC3AA4"/>
    <w:rsid w:val="00DC3C85"/>
    <w:rsid w:val="00DC3EB2"/>
    <w:rsid w:val="00DD0CAE"/>
    <w:rsid w:val="00DF02C2"/>
    <w:rsid w:val="00DF2ECB"/>
    <w:rsid w:val="00DF5AA9"/>
    <w:rsid w:val="00E0058E"/>
    <w:rsid w:val="00E00D78"/>
    <w:rsid w:val="00E0674E"/>
    <w:rsid w:val="00E12052"/>
    <w:rsid w:val="00E122B0"/>
    <w:rsid w:val="00E1629A"/>
    <w:rsid w:val="00E163C7"/>
    <w:rsid w:val="00E1768C"/>
    <w:rsid w:val="00E23504"/>
    <w:rsid w:val="00E255C9"/>
    <w:rsid w:val="00E27F5A"/>
    <w:rsid w:val="00E3014B"/>
    <w:rsid w:val="00E32BB2"/>
    <w:rsid w:val="00E34A38"/>
    <w:rsid w:val="00E57061"/>
    <w:rsid w:val="00E70DFB"/>
    <w:rsid w:val="00E720BB"/>
    <w:rsid w:val="00E80541"/>
    <w:rsid w:val="00E85D8B"/>
    <w:rsid w:val="00EA6439"/>
    <w:rsid w:val="00EB4F45"/>
    <w:rsid w:val="00ED5F67"/>
    <w:rsid w:val="00ED71B0"/>
    <w:rsid w:val="00EE5E9F"/>
    <w:rsid w:val="00EF21DB"/>
    <w:rsid w:val="00F00740"/>
    <w:rsid w:val="00F119E8"/>
    <w:rsid w:val="00F17498"/>
    <w:rsid w:val="00F305E7"/>
    <w:rsid w:val="00F33274"/>
    <w:rsid w:val="00F5099C"/>
    <w:rsid w:val="00F51096"/>
    <w:rsid w:val="00F5373E"/>
    <w:rsid w:val="00F54254"/>
    <w:rsid w:val="00F5438F"/>
    <w:rsid w:val="00F6108B"/>
    <w:rsid w:val="00F65068"/>
    <w:rsid w:val="00F65238"/>
    <w:rsid w:val="00F6564C"/>
    <w:rsid w:val="00F72E0D"/>
    <w:rsid w:val="00F902E6"/>
    <w:rsid w:val="00F93AC4"/>
    <w:rsid w:val="00F97E23"/>
    <w:rsid w:val="00FA6CEB"/>
    <w:rsid w:val="00FA79E5"/>
    <w:rsid w:val="00FB3107"/>
    <w:rsid w:val="00FB4B9A"/>
    <w:rsid w:val="00FD1E6E"/>
    <w:rsid w:val="00FD7AF5"/>
    <w:rsid w:val="00FF2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00C8F75E"/>
  <w15:docId w15:val="{75BD2FA1-E105-41F1-B7E2-BCF3EADFC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426"/>
    <w:rPr>
      <w:sz w:val="24"/>
      <w:szCs w:val="24"/>
      <w:lang w:val="en-GB" w:eastAsia="en-GB"/>
    </w:rPr>
  </w:style>
  <w:style w:type="paragraph" w:styleId="Heading1">
    <w:name w:val="heading 1"/>
    <w:basedOn w:val="Normal"/>
    <w:next w:val="Normal"/>
    <w:qFormat/>
    <w:rsid w:val="00591426"/>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91426"/>
    <w:pPr>
      <w:keepNext/>
      <w:widowControl w:val="0"/>
      <w:outlineLvl w:val="2"/>
    </w:pPr>
    <w:rPr>
      <w:i/>
      <w:iCs/>
      <w:snapToGrid w:val="0"/>
      <w:lang w:eastAsia="en-US"/>
    </w:rPr>
  </w:style>
  <w:style w:type="paragraph" w:styleId="Heading4">
    <w:name w:val="heading 4"/>
    <w:basedOn w:val="Normal"/>
    <w:next w:val="Normal"/>
    <w:qFormat/>
    <w:rsid w:val="0038124F"/>
    <w:pPr>
      <w:keepNext/>
      <w:jc w:val="center"/>
      <w:outlineLvl w:val="3"/>
    </w:pPr>
    <w:rPr>
      <w:rFonts w:ascii="CG Times (W1)" w:hAnsi="CG Times (W1)"/>
      <w:b/>
      <w:sz w:val="28"/>
      <w:szCs w:val="20"/>
      <w:lang w:eastAsia="en-US"/>
    </w:rPr>
  </w:style>
  <w:style w:type="paragraph" w:styleId="Heading7">
    <w:name w:val="heading 7"/>
    <w:basedOn w:val="Normal"/>
    <w:next w:val="Normal"/>
    <w:qFormat/>
    <w:rsid w:val="0038124F"/>
    <w:pPr>
      <w:ind w:left="720"/>
      <w:outlineLvl w:val="6"/>
    </w:pPr>
    <w:rPr>
      <w:i/>
      <w:sz w:val="20"/>
      <w:szCs w:val="20"/>
      <w:lang w:eastAsia="en-US"/>
    </w:rPr>
  </w:style>
  <w:style w:type="paragraph" w:styleId="Heading8">
    <w:name w:val="heading 8"/>
    <w:basedOn w:val="Normal"/>
    <w:next w:val="Normal"/>
    <w:qFormat/>
    <w:rsid w:val="0038124F"/>
    <w:pPr>
      <w:ind w:left="720"/>
      <w:outlineLvl w:val="7"/>
    </w:pPr>
    <w:rPr>
      <w:i/>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head">
    <w:name w:val="lethead"/>
    <w:basedOn w:val="Header"/>
    <w:rsid w:val="00591426"/>
    <w:pPr>
      <w:tabs>
        <w:tab w:val="clear" w:pos="4153"/>
        <w:tab w:val="clear" w:pos="8306"/>
        <w:tab w:val="center" w:pos="4819"/>
        <w:tab w:val="right" w:pos="9071"/>
      </w:tabs>
    </w:pPr>
    <w:rPr>
      <w:b/>
      <w:bCs/>
      <w:sz w:val="28"/>
      <w:szCs w:val="28"/>
    </w:rPr>
  </w:style>
  <w:style w:type="paragraph" w:styleId="Header">
    <w:name w:val="header"/>
    <w:basedOn w:val="Normal"/>
    <w:link w:val="HeaderChar"/>
    <w:uiPriority w:val="99"/>
    <w:rsid w:val="00591426"/>
    <w:pPr>
      <w:tabs>
        <w:tab w:val="center" w:pos="4153"/>
        <w:tab w:val="right" w:pos="8306"/>
      </w:tabs>
    </w:pPr>
  </w:style>
  <w:style w:type="paragraph" w:customStyle="1" w:styleId="sssubhead1">
    <w:name w:val="sssubhead1"/>
    <w:basedOn w:val="Heading1"/>
    <w:next w:val="PlainText"/>
    <w:autoRedefine/>
    <w:rsid w:val="00341866"/>
    <w:pPr>
      <w:keepNext w:val="0"/>
      <w:numPr>
        <w:numId w:val="22"/>
      </w:numPr>
      <w:spacing w:before="0" w:after="0"/>
      <w:ind w:left="709" w:hanging="709"/>
    </w:pPr>
    <w:rPr>
      <w:kern w:val="0"/>
      <w:sz w:val="28"/>
      <w:szCs w:val="28"/>
      <w:lang w:eastAsia="en-US"/>
    </w:rPr>
  </w:style>
  <w:style w:type="paragraph" w:customStyle="1" w:styleId="ssheader">
    <w:name w:val="ssheader"/>
    <w:basedOn w:val="Heading1"/>
    <w:rsid w:val="00591426"/>
    <w:pPr>
      <w:keepNext w:val="0"/>
      <w:spacing w:before="0" w:after="0"/>
    </w:pPr>
    <w:rPr>
      <w:caps/>
      <w:kern w:val="0"/>
      <w:sz w:val="40"/>
      <w:szCs w:val="40"/>
    </w:rPr>
  </w:style>
  <w:style w:type="paragraph" w:styleId="BodyTextIndent">
    <w:name w:val="Body Text Indent"/>
    <w:basedOn w:val="Normal"/>
    <w:rsid w:val="00591426"/>
    <w:pPr>
      <w:ind w:left="720"/>
    </w:pPr>
    <w:rPr>
      <w:rFonts w:ascii="Arial" w:hAnsi="Arial" w:cs="Arial"/>
    </w:rPr>
  </w:style>
  <w:style w:type="paragraph" w:styleId="BodyTextIndent2">
    <w:name w:val="Body Text Indent 2"/>
    <w:basedOn w:val="Normal"/>
    <w:rsid w:val="00591426"/>
    <w:pPr>
      <w:ind w:left="720"/>
      <w:jc w:val="both"/>
    </w:pPr>
  </w:style>
  <w:style w:type="paragraph" w:styleId="Footer">
    <w:name w:val="footer"/>
    <w:basedOn w:val="Normal"/>
    <w:link w:val="FooterChar"/>
    <w:uiPriority w:val="99"/>
    <w:rsid w:val="00591426"/>
    <w:pPr>
      <w:tabs>
        <w:tab w:val="center" w:pos="4153"/>
        <w:tab w:val="right" w:pos="8306"/>
      </w:tabs>
    </w:pPr>
  </w:style>
  <w:style w:type="character" w:styleId="PageNumber">
    <w:name w:val="page number"/>
    <w:basedOn w:val="DefaultParagraphFont"/>
    <w:rsid w:val="00591426"/>
  </w:style>
  <w:style w:type="paragraph" w:styleId="PlainText">
    <w:name w:val="Plain Text"/>
    <w:basedOn w:val="Normal"/>
    <w:rsid w:val="00591426"/>
    <w:rPr>
      <w:rFonts w:ascii="Courier New" w:hAnsi="Courier New" w:cs="Courier New"/>
      <w:sz w:val="20"/>
      <w:szCs w:val="20"/>
    </w:rPr>
  </w:style>
  <w:style w:type="table" w:styleId="TableGrid">
    <w:name w:val="Table Grid"/>
    <w:basedOn w:val="TableNormal"/>
    <w:uiPriority w:val="39"/>
    <w:rsid w:val="00CC6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E7E09"/>
    <w:rPr>
      <w:rFonts w:ascii="Tahoma" w:hAnsi="Tahoma" w:cs="Tahoma"/>
      <w:sz w:val="16"/>
      <w:szCs w:val="16"/>
    </w:rPr>
  </w:style>
  <w:style w:type="paragraph" w:styleId="BodyText">
    <w:name w:val="Body Text"/>
    <w:basedOn w:val="Normal"/>
    <w:rsid w:val="0038124F"/>
    <w:pPr>
      <w:jc w:val="center"/>
    </w:pPr>
    <w:rPr>
      <w:szCs w:val="20"/>
      <w:lang w:eastAsia="en-US"/>
    </w:rPr>
  </w:style>
  <w:style w:type="paragraph" w:styleId="BodyText3">
    <w:name w:val="Body Text 3"/>
    <w:basedOn w:val="Normal"/>
    <w:rsid w:val="0038124F"/>
    <w:pPr>
      <w:spacing w:after="120"/>
    </w:pPr>
    <w:rPr>
      <w:sz w:val="16"/>
      <w:szCs w:val="16"/>
      <w:lang w:eastAsia="en-US"/>
    </w:rPr>
  </w:style>
  <w:style w:type="paragraph" w:styleId="BodyText2">
    <w:name w:val="Body Text 2"/>
    <w:basedOn w:val="Normal"/>
    <w:rsid w:val="0038124F"/>
    <w:rPr>
      <w:szCs w:val="20"/>
      <w:lang w:eastAsia="en-US"/>
    </w:rPr>
  </w:style>
  <w:style w:type="paragraph" w:customStyle="1" w:styleId="Style1">
    <w:name w:val="Style1"/>
    <w:basedOn w:val="Normal"/>
    <w:rsid w:val="0038124F"/>
    <w:pPr>
      <w:spacing w:line="280" w:lineRule="atLeast"/>
      <w:jc w:val="both"/>
    </w:pPr>
    <w:rPr>
      <w:kern w:val="28"/>
      <w:sz w:val="22"/>
      <w:szCs w:val="20"/>
      <w:lang w:eastAsia="en-US"/>
    </w:rPr>
  </w:style>
  <w:style w:type="paragraph" w:customStyle="1" w:styleId="Char1">
    <w:name w:val="Char1"/>
    <w:basedOn w:val="Normal"/>
    <w:rsid w:val="007541C6"/>
    <w:pPr>
      <w:spacing w:after="160" w:line="240" w:lineRule="exact"/>
    </w:pPr>
    <w:rPr>
      <w:rFonts w:ascii="Verdana" w:hAnsi="Verdana"/>
      <w:sz w:val="20"/>
      <w:szCs w:val="20"/>
      <w:lang w:val="en-US" w:eastAsia="en-US"/>
    </w:rPr>
  </w:style>
  <w:style w:type="character" w:customStyle="1" w:styleId="HeaderChar">
    <w:name w:val="Header Char"/>
    <w:basedOn w:val="DefaultParagraphFont"/>
    <w:link w:val="Header"/>
    <w:uiPriority w:val="99"/>
    <w:rsid w:val="00662B17"/>
    <w:rPr>
      <w:sz w:val="24"/>
      <w:szCs w:val="24"/>
      <w:lang w:val="en-GB" w:eastAsia="en-GB"/>
    </w:rPr>
  </w:style>
  <w:style w:type="character" w:customStyle="1" w:styleId="FooterChar">
    <w:name w:val="Footer Char"/>
    <w:basedOn w:val="DefaultParagraphFont"/>
    <w:link w:val="Footer"/>
    <w:uiPriority w:val="99"/>
    <w:rsid w:val="00347EA5"/>
    <w:rPr>
      <w:sz w:val="24"/>
      <w:szCs w:val="24"/>
      <w:lang w:val="en-GB" w:eastAsia="en-GB"/>
    </w:rPr>
  </w:style>
  <w:style w:type="character" w:styleId="Emphasis">
    <w:name w:val="Emphasis"/>
    <w:basedOn w:val="DefaultParagraphFont"/>
    <w:qFormat/>
    <w:rsid w:val="0065556B"/>
    <w:rPr>
      <w:i/>
      <w:iCs/>
    </w:rPr>
  </w:style>
  <w:style w:type="paragraph" w:styleId="ListParagraph">
    <w:name w:val="List Paragraph"/>
    <w:basedOn w:val="Normal"/>
    <w:uiPriority w:val="34"/>
    <w:qFormat/>
    <w:rsid w:val="00883A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5cec8fd-eede-43ea-a7f7-e4f4e18d2a8d" ContentTypeId="0x010100E1CC3F4493E0FC4D8466E5A019837875" PreviousValue="true"/>
</file>

<file path=customXml/item2.xml><?xml version="1.0" encoding="utf-8"?>
<ct:contentTypeSchema xmlns:ct="http://schemas.microsoft.com/office/2006/metadata/contentType" xmlns:ma="http://schemas.microsoft.com/office/2006/metadata/properties/metaAttributes" ct:_="" ma:_="" ma:contentTypeName="SFRS Document" ma:contentTypeID="0x010100E1CC3F4493E0FC4D8466E5A01983787500B85C5520223B844486E9A97D9ECDFF88" ma:contentTypeVersion="90" ma:contentTypeDescription="" ma:contentTypeScope="" ma:versionID="cbdb3f1f35a02c4250b05e2e72665a5c">
  <xsd:schema xmlns:xsd="http://www.w3.org/2001/XMLSchema" xmlns:xs="http://www.w3.org/2001/XMLSchema" xmlns:p="http://schemas.microsoft.com/office/2006/metadata/properties" xmlns:ns2="a74abe98-04d6-4650-a86d-b684cd679024" targetNamespace="http://schemas.microsoft.com/office/2006/metadata/properties" ma:root="true" ma:fieldsID="8c269e73c1bd99d3818bae084d90bd16" ns2:_="">
    <xsd:import namespace="a74abe98-04d6-4650-a86d-b684cd679024"/>
    <xsd:element name="properties">
      <xsd:complexType>
        <xsd:sequence>
          <xsd:element name="documentManagement">
            <xsd:complexType>
              <xsd:all>
                <xsd:element ref="ns2:b133dadb792242fe9b5669aa8757600b" minOccurs="0"/>
                <xsd:element ref="ns2:TaxCatchAll" minOccurs="0"/>
                <xsd:element ref="ns2:TaxCatchAllLabel" minOccurs="0"/>
                <xsd:element ref="ns2:_dlc_DocId" minOccurs="0"/>
                <xsd:element ref="ns2:_dlc_DocIdUrl" minOccurs="0"/>
                <xsd:element ref="ns2:_dlc_DocIdPersistId"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abe98-04d6-4650-a86d-b684cd679024" elementFormDefault="qualified">
    <xsd:import namespace="http://schemas.microsoft.com/office/2006/documentManagement/types"/>
    <xsd:import namespace="http://schemas.microsoft.com/office/infopath/2007/PartnerControls"/>
    <xsd:element name="b133dadb792242fe9b5669aa8757600b" ma:index="8" nillable="true" ma:taxonomy="true" ma:internalName="b133dadb792242fe9b5669aa8757600b" ma:taxonomyFieldName="SFRSTopic" ma:displayName="Topic" ma:default="" ma:fieldId="{b133dadb-7922-42fe-9b56-69aa8757600b}" ma:taxonomyMulti="true" ma:sspId="15cec8fd-eede-43ea-a7f7-e4f4e18d2a8d" ma:termSetId="eae722c5-96a9-4af1-a721-0837f8bdce06" ma:anchorId="949c01f9-08a4-4d2c-ac69-99c962a82040" ma:open="true" ma:isKeyword="false">
      <xsd:complexType>
        <xsd:sequence>
          <xsd:element ref="pc:Terms" minOccurs="0" maxOccurs="1"/>
        </xsd:sequence>
      </xsd:complexType>
    </xsd:element>
    <xsd:element name="TaxCatchAll" ma:index="9" nillable="true" ma:displayName="Taxonomy Catch All Column" ma:hidden="true" ma:list="{99d51406-ce02-4548-b1af-10b748e7aba4}" ma:internalName="TaxCatchAll" ma:showField="CatchAllData" ma:web="39fb1d26-0ecc-4f8f-93bc-6eb2e9b874b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9d51406-ce02-4548-b1af-10b748e7aba4}" ma:internalName="TaxCatchAllLabel" ma:readOnly="true" ma:showField="CatchAllDataLabel" ma:web="39fb1d26-0ecc-4f8f-93bc-6eb2e9b874b1">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KeywordTaxHTField" ma:index="15" nillable="true" ma:taxonomy="true" ma:internalName="TaxKeywordTaxHTField" ma:taxonomyFieldName="TaxKeyword" ma:displayName="Enterprise Keywords" ma:fieldId="{23f27201-bee3-471e-b2e7-b64fd8b7ca38}" ma:taxonomyMulti="true" ma:sspId="15cec8fd-eede-43ea-a7f7-e4f4e18d2a8d"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133dadb792242fe9b5669aa8757600b xmlns="a74abe98-04d6-4650-a86d-b684cd679024">
      <Terms xmlns="http://schemas.microsoft.com/office/infopath/2007/PartnerControls"/>
    </b133dadb792242fe9b5669aa8757600b>
    <TaxCatchAll xmlns="a74abe98-04d6-4650-a86d-b684cd679024"/>
    <TaxKeywordTaxHTField xmlns="a74abe98-04d6-4650-a86d-b684cd679024">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59413E49-B8D9-4B8B-9196-77DCA0C481D9}">
  <ds:schemaRefs>
    <ds:schemaRef ds:uri="Microsoft.SharePoint.Taxonomy.ContentTypeSync"/>
  </ds:schemaRefs>
</ds:datastoreItem>
</file>

<file path=customXml/itemProps2.xml><?xml version="1.0" encoding="utf-8"?>
<ds:datastoreItem xmlns:ds="http://schemas.openxmlformats.org/officeDocument/2006/customXml" ds:itemID="{E663FF8E-7073-4158-8E27-AA0911B95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abe98-04d6-4650-a86d-b684cd679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206C39-9F0E-456D-988A-24918375422D}">
  <ds:schemaRefs>
    <ds:schemaRef ds:uri="a74abe98-04d6-4650-a86d-b684cd679024"/>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elements/1.1/"/>
    <ds:schemaRef ds:uri="http://purl.org/dc/terms/"/>
    <ds:schemaRef ds:uri="http://www.w3.org/XML/1998/namespace"/>
  </ds:schemaRefs>
</ds:datastoreItem>
</file>

<file path=customXml/itemProps4.xml><?xml version="1.0" encoding="utf-8"?>
<ds:datastoreItem xmlns:ds="http://schemas.openxmlformats.org/officeDocument/2006/customXml" ds:itemID="{C7B2C2CA-F82E-4EB9-9CA7-AD685E64CD65}">
  <ds:schemaRefs>
    <ds:schemaRef ds:uri="http://schemas.microsoft.com/sharepoint/v3/contenttype/forms"/>
  </ds:schemaRefs>
</ds:datastoreItem>
</file>

<file path=customXml/itemProps5.xml><?xml version="1.0" encoding="utf-8"?>
<ds:datastoreItem xmlns:ds="http://schemas.openxmlformats.org/officeDocument/2006/customXml" ds:itemID="{78CABBEF-2893-4AAF-A782-31056F6588B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9</Pages>
  <Words>2324</Words>
  <Characters>13249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Shropshire and Wrekin Fire Authority</vt:lpstr>
    </vt:vector>
  </TitlesOfParts>
  <Company>SFRS</Company>
  <LinksUpToDate>false</LinksUpToDate>
  <CharactersWithSpaces>15542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Shropshire and Wrekin Fire Authority</dc:title>
  <dc:subject/>
  <dc:creator>Joanne Coadey</dc:creator>
  <cp:keywords/>
  <dc:description/>
  <cp:lastModifiedBy>Lynn Ince</cp:lastModifiedBy>
  <cp:revision>8</cp:revision>
  <cp:lastPrinted>2014-11-11T10:43:00Z</cp:lastPrinted>
  <dcterms:created xsi:type="dcterms:W3CDTF">2014-10-17T13:08:00Z</dcterms:created>
  <dcterms:modified xsi:type="dcterms:W3CDTF">2014-11-11T11:07:00Z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0x010100E1CC3F4493E0FC4D8466E5A01983787500B85C5520223B844486E9A97D9ECDFF88</vt:lpwstr>
  </property>
  <property fmtid="{D5CDD505-2E9C-101B-9397-08002B2CF9AE}" pid="3" name="TaxKeyword">
    <vt:lpwstr/>
  </property>
  <property fmtid="{D5CDD505-2E9C-101B-9397-08002B2CF9AE}" pid="4" name="SFRSTopic">
    <vt:lpwstr/>
  </property>
</Properties>
</file>