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CFD62" w14:textId="77777777" w:rsidR="00591426" w:rsidRDefault="00591426" w:rsidP="00591426">
      <w:pPr>
        <w:widowControl w:val="0"/>
        <w:jc w:val="right"/>
        <w:rPr>
          <w:rFonts w:ascii="Arial" w:hAnsi="Arial" w:cs="Arial"/>
          <w:snapToGrid w:val="0"/>
          <w:lang w:eastAsia="en-US"/>
        </w:rPr>
      </w:pPr>
      <w:r w:rsidRPr="006D45C8">
        <w:rPr>
          <w:rFonts w:ascii="Arial" w:hAnsi="Arial" w:cs="Arial"/>
          <w:snapToGrid w:val="0"/>
          <w:lang w:eastAsia="en-US"/>
        </w:rPr>
        <w:t>Shropshire and Wrekin Fire</w:t>
      </w:r>
      <w:r w:rsidR="000D1AF2">
        <w:rPr>
          <w:rFonts w:ascii="Arial" w:hAnsi="Arial" w:cs="Arial"/>
          <w:snapToGrid w:val="0"/>
          <w:lang w:eastAsia="en-US"/>
        </w:rPr>
        <w:t xml:space="preserve"> and Rescue</w:t>
      </w:r>
      <w:r w:rsidRPr="006D45C8">
        <w:rPr>
          <w:rFonts w:ascii="Arial" w:hAnsi="Arial" w:cs="Arial"/>
          <w:snapToGrid w:val="0"/>
          <w:lang w:eastAsia="en-US"/>
        </w:rPr>
        <w:t xml:space="preserve"> Authority</w:t>
      </w:r>
    </w:p>
    <w:p w14:paraId="225CFD63" w14:textId="77777777" w:rsidR="00CD7850" w:rsidRPr="004254C3" w:rsidRDefault="00AE1CB1" w:rsidP="00591426">
      <w:pPr>
        <w:widowControl w:val="0"/>
        <w:jc w:val="right"/>
        <w:rPr>
          <w:rFonts w:ascii="Arial" w:hAnsi="Arial" w:cs="Arial"/>
          <w:snapToGrid w:val="0"/>
          <w:lang w:eastAsia="en-US"/>
        </w:rPr>
      </w:pPr>
      <w:r w:rsidRPr="004254C3">
        <w:rPr>
          <w:rFonts w:ascii="Arial" w:hAnsi="Arial" w:cs="Arial"/>
          <w:snapToGrid w:val="0"/>
          <w:lang w:eastAsia="en-US"/>
        </w:rPr>
        <w:t>Strategy and Resources Committee</w:t>
      </w:r>
    </w:p>
    <w:p w14:paraId="225CFD64" w14:textId="073D64E8" w:rsidR="00480908" w:rsidRPr="004254C3" w:rsidRDefault="008F6FDA" w:rsidP="00AE1CB1">
      <w:pPr>
        <w:widowControl w:val="0"/>
        <w:jc w:val="right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>5</w:t>
      </w:r>
      <w:r w:rsidR="00AE1CB1" w:rsidRPr="004254C3">
        <w:rPr>
          <w:rFonts w:ascii="Arial" w:hAnsi="Arial" w:cs="Arial"/>
          <w:snapToGrid w:val="0"/>
          <w:lang w:eastAsia="en-US"/>
        </w:rPr>
        <w:t xml:space="preserve"> February 201</w:t>
      </w:r>
      <w:r>
        <w:rPr>
          <w:rFonts w:ascii="Arial" w:hAnsi="Arial" w:cs="Arial"/>
          <w:snapToGrid w:val="0"/>
          <w:lang w:eastAsia="en-US"/>
        </w:rPr>
        <w:t>5</w:t>
      </w:r>
    </w:p>
    <w:p w14:paraId="225CFD65" w14:textId="77777777" w:rsidR="00591426" w:rsidRDefault="00591426" w:rsidP="00591426">
      <w:pPr>
        <w:widowControl w:val="0"/>
        <w:rPr>
          <w:rFonts w:ascii="Arial" w:hAnsi="Arial" w:cs="Arial"/>
          <w:snapToGrid w:val="0"/>
          <w:lang w:eastAsia="en-US"/>
        </w:rPr>
      </w:pPr>
    </w:p>
    <w:p w14:paraId="225CFD66" w14:textId="77777777" w:rsidR="006F364E" w:rsidRPr="006D45C8" w:rsidRDefault="006F364E" w:rsidP="00591426">
      <w:pPr>
        <w:widowControl w:val="0"/>
        <w:rPr>
          <w:rFonts w:ascii="Arial" w:hAnsi="Arial" w:cs="Arial"/>
          <w:snapToGrid w:val="0"/>
          <w:lang w:eastAsia="en-US"/>
        </w:rPr>
      </w:pPr>
    </w:p>
    <w:p w14:paraId="225CFD67" w14:textId="77777777" w:rsidR="00591426" w:rsidRDefault="00AE1CB1" w:rsidP="005B0F94">
      <w:pPr>
        <w:widowControl w:val="0"/>
        <w:rPr>
          <w:rFonts w:ascii="Arial" w:hAnsi="Arial"/>
          <w:b/>
          <w:snapToGrid w:val="0"/>
          <w:lang w:eastAsia="en-US"/>
        </w:rPr>
      </w:pPr>
      <w:r w:rsidRPr="005B0F94">
        <w:rPr>
          <w:rFonts w:ascii="Arial" w:hAnsi="Arial" w:cs="Arial"/>
          <w:b/>
          <w:sz w:val="40"/>
          <w:szCs w:val="40"/>
        </w:rPr>
        <w:fldChar w:fldCharType="begin"/>
      </w:r>
      <w:r w:rsidRPr="005B0F94">
        <w:rPr>
          <w:rFonts w:ascii="Arial" w:hAnsi="Arial" w:cs="Arial"/>
          <w:b/>
          <w:sz w:val="40"/>
          <w:szCs w:val="40"/>
        </w:rPr>
        <w:instrText xml:space="preserve"> FILLIN  "TITLE OF REPORT"  \* MERGEFORMAT </w:instrText>
      </w:r>
      <w:r w:rsidRPr="005B0F94">
        <w:rPr>
          <w:rFonts w:ascii="Arial" w:hAnsi="Arial" w:cs="Arial"/>
          <w:b/>
          <w:sz w:val="40"/>
          <w:szCs w:val="40"/>
        </w:rPr>
        <w:fldChar w:fldCharType="separate"/>
      </w:r>
      <w:r w:rsidRPr="005B0F94">
        <w:rPr>
          <w:rFonts w:ascii="Arial" w:hAnsi="Arial" w:cs="Arial"/>
          <w:b/>
          <w:sz w:val="40"/>
          <w:szCs w:val="40"/>
        </w:rPr>
        <w:t>Revi</w:t>
      </w:r>
      <w:r w:rsidR="006F364E" w:rsidRPr="005B0F94">
        <w:rPr>
          <w:rFonts w:ascii="Arial" w:hAnsi="Arial" w:cs="Arial"/>
          <w:b/>
          <w:sz w:val="40"/>
          <w:szCs w:val="40"/>
        </w:rPr>
        <w:t>sions to the 201</w:t>
      </w:r>
      <w:r w:rsidR="005B0F94" w:rsidRPr="005B0F94">
        <w:rPr>
          <w:rFonts w:ascii="Arial" w:hAnsi="Arial" w:cs="Arial"/>
          <w:b/>
          <w:sz w:val="40"/>
          <w:szCs w:val="40"/>
        </w:rPr>
        <w:t>5</w:t>
      </w:r>
      <w:r w:rsidR="006F364E" w:rsidRPr="005B0F94">
        <w:rPr>
          <w:rFonts w:ascii="Arial" w:hAnsi="Arial" w:cs="Arial"/>
          <w:b/>
          <w:sz w:val="40"/>
          <w:szCs w:val="40"/>
        </w:rPr>
        <w:t>/1</w:t>
      </w:r>
      <w:r w:rsidR="005B0F94" w:rsidRPr="005B0F94">
        <w:rPr>
          <w:rFonts w:ascii="Arial" w:hAnsi="Arial" w:cs="Arial"/>
          <w:b/>
          <w:sz w:val="40"/>
          <w:szCs w:val="40"/>
        </w:rPr>
        <w:t xml:space="preserve">6 </w:t>
      </w:r>
      <w:r w:rsidR="005B0F94">
        <w:rPr>
          <w:rFonts w:ascii="Arial" w:hAnsi="Arial" w:cs="Arial"/>
          <w:b/>
          <w:sz w:val="40"/>
          <w:szCs w:val="40"/>
        </w:rPr>
        <w:t xml:space="preserve">Revenue </w:t>
      </w:r>
      <w:r w:rsidR="005B0F94" w:rsidRPr="005B0F94">
        <w:rPr>
          <w:rFonts w:ascii="Arial" w:hAnsi="Arial" w:cs="Arial"/>
          <w:b/>
          <w:sz w:val="40"/>
          <w:szCs w:val="40"/>
        </w:rPr>
        <w:t xml:space="preserve">Budget </w:t>
      </w:r>
      <w:r w:rsidRPr="005B0F94">
        <w:rPr>
          <w:rFonts w:ascii="Arial" w:hAnsi="Arial" w:cs="Arial"/>
          <w:b/>
          <w:sz w:val="40"/>
          <w:szCs w:val="40"/>
        </w:rPr>
        <w:fldChar w:fldCharType="end"/>
      </w:r>
    </w:p>
    <w:p w14:paraId="225CFD68" w14:textId="77777777" w:rsidR="00CD7850" w:rsidRDefault="00CD7850" w:rsidP="00F72E0D">
      <w:pPr>
        <w:widowControl w:val="0"/>
        <w:jc w:val="both"/>
        <w:rPr>
          <w:rFonts w:ascii="Arial" w:hAnsi="Arial"/>
          <w:b/>
          <w:snapToGrid w:val="0"/>
          <w:lang w:eastAsia="en-US"/>
        </w:rPr>
      </w:pPr>
    </w:p>
    <w:p w14:paraId="5A0D42E8" w14:textId="77777777" w:rsidR="008F6FDA" w:rsidRPr="00117B5F" w:rsidRDefault="008F6FDA" w:rsidP="00F72E0D">
      <w:pPr>
        <w:widowControl w:val="0"/>
        <w:jc w:val="both"/>
        <w:rPr>
          <w:rFonts w:ascii="Arial" w:hAnsi="Arial"/>
          <w:b/>
          <w:snapToGrid w:val="0"/>
          <w:lang w:eastAsia="en-US"/>
        </w:rPr>
      </w:pPr>
    </w:p>
    <w:p w14:paraId="225CFD69" w14:textId="77777777" w:rsidR="002231CA" w:rsidRDefault="002231CA" w:rsidP="00CD7850">
      <w:pPr>
        <w:pStyle w:val="ssheader"/>
        <w:widowControl w:val="0"/>
        <w:rPr>
          <w:sz w:val="28"/>
          <w:szCs w:val="28"/>
        </w:rPr>
      </w:pPr>
      <w:r>
        <w:rPr>
          <w:caps w:val="0"/>
          <w:sz w:val="28"/>
          <w:szCs w:val="28"/>
        </w:rPr>
        <w:t xml:space="preserve">Report of the </w:t>
      </w:r>
      <w:r w:rsidR="002C6C72">
        <w:rPr>
          <w:caps w:val="0"/>
          <w:sz w:val="28"/>
          <w:szCs w:val="28"/>
        </w:rPr>
        <w:t>Treasurer</w:t>
      </w:r>
    </w:p>
    <w:p w14:paraId="225CFD6A" w14:textId="77777777" w:rsidR="00591426" w:rsidRPr="007D7800" w:rsidRDefault="002231CA" w:rsidP="00CD7850">
      <w:pPr>
        <w:pStyle w:val="ssheader"/>
        <w:widowControl w:val="0"/>
        <w:rPr>
          <w:rFonts w:cs="Times New Roman"/>
          <w:b w:val="0"/>
          <w:bCs w:val="0"/>
          <w:caps w:val="0"/>
          <w:snapToGrid w:val="0"/>
          <w:sz w:val="24"/>
          <w:szCs w:val="24"/>
          <w:lang w:eastAsia="en-US"/>
        </w:rPr>
      </w:pPr>
      <w:r w:rsidRPr="006D45C8">
        <w:rPr>
          <w:b w:val="0"/>
          <w:caps w:val="0"/>
          <w:sz w:val="24"/>
          <w:szCs w:val="24"/>
        </w:rPr>
        <w:t>For further information about this report please contact</w:t>
      </w:r>
      <w:r w:rsidR="00FB4B9A">
        <w:rPr>
          <w:b w:val="0"/>
          <w:caps w:val="0"/>
          <w:sz w:val="24"/>
          <w:szCs w:val="24"/>
        </w:rPr>
        <w:t xml:space="preserve"> </w:t>
      </w:r>
      <w:r w:rsidR="00AE1CB1">
        <w:rPr>
          <w:b w:val="0"/>
          <w:caps w:val="0"/>
          <w:sz w:val="24"/>
          <w:szCs w:val="24"/>
        </w:rPr>
        <w:t>James Walton, Treasurer</w:t>
      </w:r>
      <w:r w:rsidR="00FB4B9A">
        <w:rPr>
          <w:b w:val="0"/>
          <w:caps w:val="0"/>
          <w:sz w:val="24"/>
          <w:szCs w:val="24"/>
        </w:rPr>
        <w:t>, on 01743 2</w:t>
      </w:r>
      <w:r w:rsidR="00AE1CB1">
        <w:rPr>
          <w:b w:val="0"/>
          <w:caps w:val="0"/>
          <w:sz w:val="24"/>
          <w:szCs w:val="24"/>
        </w:rPr>
        <w:t>55011</w:t>
      </w:r>
      <w:r w:rsidR="00FB4B9A">
        <w:rPr>
          <w:b w:val="0"/>
          <w:caps w:val="0"/>
          <w:sz w:val="24"/>
          <w:szCs w:val="24"/>
        </w:rPr>
        <w:t xml:space="preserve"> or</w:t>
      </w:r>
      <w:r w:rsidR="00CD7850">
        <w:rPr>
          <w:b w:val="0"/>
          <w:caps w:val="0"/>
          <w:sz w:val="24"/>
          <w:szCs w:val="24"/>
        </w:rPr>
        <w:t xml:space="preserve"> </w:t>
      </w:r>
      <w:r w:rsidR="00AE1CB1">
        <w:rPr>
          <w:b w:val="0"/>
          <w:caps w:val="0"/>
          <w:sz w:val="24"/>
          <w:szCs w:val="24"/>
        </w:rPr>
        <w:t>Joanne Coadey, Head of Finance</w:t>
      </w:r>
      <w:r w:rsidR="00CD7850">
        <w:rPr>
          <w:b w:val="0"/>
          <w:caps w:val="0"/>
          <w:sz w:val="24"/>
          <w:szCs w:val="24"/>
        </w:rPr>
        <w:t xml:space="preserve"> on </w:t>
      </w:r>
      <w:r w:rsidR="00AE1CB1">
        <w:rPr>
          <w:b w:val="0"/>
          <w:caps w:val="0"/>
          <w:sz w:val="24"/>
          <w:szCs w:val="24"/>
        </w:rPr>
        <w:t>01743 260215</w:t>
      </w:r>
      <w:r w:rsidR="007D7800">
        <w:rPr>
          <w:rFonts w:cs="Times New Roman"/>
          <w:b w:val="0"/>
          <w:bCs w:val="0"/>
          <w:caps w:val="0"/>
          <w:snapToGrid w:val="0"/>
          <w:sz w:val="24"/>
          <w:szCs w:val="24"/>
          <w:lang w:eastAsia="en-US"/>
        </w:rPr>
        <w:t>.</w:t>
      </w:r>
      <w:r w:rsidR="00AE1CB1" w:rsidRPr="007D7800">
        <w:rPr>
          <w:rFonts w:cs="Times New Roman"/>
          <w:b w:val="0"/>
          <w:bCs w:val="0"/>
          <w:caps w:val="0"/>
          <w:snapToGrid w:val="0"/>
          <w:sz w:val="24"/>
          <w:szCs w:val="24"/>
          <w:lang w:eastAsia="en-US"/>
        </w:rPr>
        <w:t xml:space="preserve"> </w:t>
      </w:r>
    </w:p>
    <w:p w14:paraId="225CFD6B" w14:textId="77777777" w:rsidR="00591426" w:rsidRPr="00A04037" w:rsidRDefault="00591426" w:rsidP="00F72E0D">
      <w:pPr>
        <w:widowControl w:val="0"/>
        <w:rPr>
          <w:rFonts w:ascii="Arial" w:hAnsi="Arial"/>
          <w:snapToGrid w:val="0"/>
          <w:lang w:eastAsia="en-US"/>
        </w:rPr>
      </w:pPr>
    </w:p>
    <w:p w14:paraId="225CFD6C" w14:textId="77777777" w:rsidR="00591426" w:rsidRPr="00A04037" w:rsidRDefault="00591426" w:rsidP="00F72E0D"/>
    <w:p w14:paraId="225CFD6D" w14:textId="77777777" w:rsidR="00591426" w:rsidRDefault="00591426" w:rsidP="00F72E0D">
      <w:pPr>
        <w:pStyle w:val="sssubhead1"/>
      </w:pPr>
      <w:r>
        <w:t>Purpose of Report</w:t>
      </w:r>
    </w:p>
    <w:p w14:paraId="5B92B892" w14:textId="77777777" w:rsidR="008F6FDA" w:rsidRPr="00117B5F" w:rsidRDefault="008F6FDA" w:rsidP="00117B5F">
      <w:pPr>
        <w:pStyle w:val="PlainText"/>
        <w:rPr>
          <w:rFonts w:ascii="Arial" w:hAnsi="Arial" w:cs="Arial"/>
          <w:sz w:val="24"/>
          <w:szCs w:val="24"/>
        </w:rPr>
      </w:pPr>
    </w:p>
    <w:p w14:paraId="225CFD6F" w14:textId="77777777" w:rsidR="00591426" w:rsidRPr="006D45C8" w:rsidRDefault="00AE1CB1" w:rsidP="00AE1CB1">
      <w:pPr>
        <w:pStyle w:val="BodyTextIndent2"/>
        <w:jc w:val="left"/>
        <w:rPr>
          <w:rFonts w:ascii="Arial" w:hAnsi="Arial" w:cs="Arial"/>
        </w:rPr>
      </w:pPr>
      <w:r w:rsidRPr="00011A6D">
        <w:rPr>
          <w:rFonts w:ascii="Arial" w:hAnsi="Arial" w:cs="Arial"/>
        </w:rPr>
        <w:t xml:space="preserve">This report </w:t>
      </w:r>
      <w:r w:rsidR="005B0F94">
        <w:rPr>
          <w:rFonts w:ascii="Arial" w:hAnsi="Arial" w:cs="Arial"/>
        </w:rPr>
        <w:t>presents</w:t>
      </w:r>
      <w:r>
        <w:rPr>
          <w:rFonts w:ascii="Arial" w:hAnsi="Arial" w:cs="Arial"/>
        </w:rPr>
        <w:t xml:space="preserve"> a final revenue budget package for 201</w:t>
      </w:r>
      <w:r w:rsidR="009D1E60">
        <w:rPr>
          <w:rFonts w:ascii="Arial" w:hAnsi="Arial" w:cs="Arial"/>
        </w:rPr>
        <w:t>5</w:t>
      </w:r>
      <w:r>
        <w:rPr>
          <w:rFonts w:ascii="Arial" w:hAnsi="Arial" w:cs="Arial"/>
        </w:rPr>
        <w:t>/1</w:t>
      </w:r>
      <w:r w:rsidR="009D1E6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for consideration by the </w:t>
      </w:r>
      <w:r w:rsidR="005B0F94">
        <w:rPr>
          <w:rFonts w:ascii="Arial" w:hAnsi="Arial" w:cs="Arial"/>
        </w:rPr>
        <w:t>Committee, and recommendation to the Fire Authority</w:t>
      </w:r>
      <w:r>
        <w:rPr>
          <w:rFonts w:ascii="Arial" w:hAnsi="Arial" w:cs="Arial"/>
        </w:rPr>
        <w:t xml:space="preserve">, taking into account latest information. </w:t>
      </w:r>
      <w:r w:rsidRPr="00011A6D">
        <w:rPr>
          <w:rFonts w:ascii="Arial" w:hAnsi="Arial" w:cs="Arial"/>
        </w:rPr>
        <w:t xml:space="preserve"> </w:t>
      </w:r>
    </w:p>
    <w:p w14:paraId="225CFD70" w14:textId="77777777" w:rsidR="006F364E" w:rsidRDefault="006F364E" w:rsidP="00F72E0D">
      <w:pPr>
        <w:rPr>
          <w:rFonts w:ascii="Arial" w:hAnsi="Arial" w:cs="Arial"/>
        </w:rPr>
      </w:pPr>
    </w:p>
    <w:p w14:paraId="65C6C134" w14:textId="77777777" w:rsidR="008F6FDA" w:rsidRPr="006D45C8" w:rsidRDefault="008F6FDA" w:rsidP="00F72E0D">
      <w:pPr>
        <w:rPr>
          <w:rFonts w:ascii="Arial" w:hAnsi="Arial" w:cs="Arial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244"/>
      </w:tblGrid>
      <w:tr w:rsidR="00591426" w14:paraId="225CFD78" w14:textId="77777777" w:rsidTr="008F6FDA"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225CFD71" w14:textId="77777777" w:rsidR="00591426" w:rsidRPr="000975D5" w:rsidRDefault="00591426" w:rsidP="00F72E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5CFD72" w14:textId="77777777" w:rsidR="00591426" w:rsidRDefault="00591426" w:rsidP="00F72E0D">
            <w:pPr>
              <w:pStyle w:val="sssubhead1"/>
            </w:pPr>
          </w:p>
        </w:tc>
        <w:tc>
          <w:tcPr>
            <w:tcW w:w="8244" w:type="dxa"/>
          </w:tcPr>
          <w:p w14:paraId="225CFD73" w14:textId="77777777" w:rsidR="00591426" w:rsidRPr="000975D5" w:rsidRDefault="00591426" w:rsidP="00F72E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5CFD74" w14:textId="77777777" w:rsidR="00591426" w:rsidRDefault="00591426" w:rsidP="00F72E0D">
            <w:pPr>
              <w:pStyle w:val="lethead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Recommendations</w:t>
            </w:r>
          </w:p>
          <w:p w14:paraId="225CFD75" w14:textId="77777777" w:rsidR="00591426" w:rsidRDefault="00591426" w:rsidP="00F72E0D">
            <w:pPr>
              <w:pStyle w:val="BodyTextIndent2"/>
              <w:ind w:left="0"/>
              <w:jc w:val="left"/>
              <w:rPr>
                <w:rFonts w:ascii="Arial" w:hAnsi="Arial" w:cs="Arial"/>
              </w:rPr>
            </w:pPr>
          </w:p>
          <w:p w14:paraId="225CFD76" w14:textId="77777777" w:rsidR="00AE1CB1" w:rsidRDefault="007B08DA" w:rsidP="008F381D">
            <w:pPr>
              <w:pStyle w:val="BodyTextIndent2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Committee is asked to</w:t>
            </w:r>
            <w:r w:rsidR="006F364E">
              <w:rPr>
                <w:rFonts w:ascii="Arial" w:hAnsi="Arial" w:cs="Arial"/>
              </w:rPr>
              <w:t xml:space="preserve"> recommend that</w:t>
            </w:r>
            <w:r w:rsidR="00AE1CB1">
              <w:rPr>
                <w:rFonts w:ascii="Arial" w:hAnsi="Arial" w:cs="Arial"/>
              </w:rPr>
              <w:t xml:space="preserve"> the</w:t>
            </w:r>
            <w:r w:rsidR="006F364E">
              <w:rPr>
                <w:rFonts w:ascii="Arial" w:hAnsi="Arial" w:cs="Arial"/>
              </w:rPr>
              <w:t xml:space="preserve"> Fire</w:t>
            </w:r>
            <w:r w:rsidR="00AE1CB1">
              <w:rPr>
                <w:rFonts w:ascii="Arial" w:hAnsi="Arial" w:cs="Arial"/>
              </w:rPr>
              <w:t xml:space="preserve"> Authority</w:t>
            </w:r>
            <w:r w:rsidR="008F381D">
              <w:rPr>
                <w:rFonts w:ascii="Arial" w:hAnsi="Arial" w:cs="Arial"/>
              </w:rPr>
              <w:t xml:space="preserve"> a</w:t>
            </w:r>
            <w:r w:rsidR="006F364E">
              <w:rPr>
                <w:rFonts w:ascii="Arial" w:hAnsi="Arial" w:cs="Arial"/>
              </w:rPr>
              <w:t xml:space="preserve">gree a </w:t>
            </w:r>
            <w:r w:rsidR="00AE1CB1">
              <w:rPr>
                <w:rFonts w:ascii="Arial" w:hAnsi="Arial" w:cs="Arial"/>
              </w:rPr>
              <w:t>revenue budget of £</w:t>
            </w:r>
            <w:r w:rsidR="008F381D">
              <w:rPr>
                <w:rFonts w:ascii="Arial" w:hAnsi="Arial" w:cs="Arial"/>
              </w:rPr>
              <w:t>21.22</w:t>
            </w:r>
            <w:r w:rsidR="00A75A6E">
              <w:rPr>
                <w:rFonts w:ascii="Arial" w:hAnsi="Arial" w:cs="Arial"/>
              </w:rPr>
              <w:t>8</w:t>
            </w:r>
            <w:r w:rsidR="008F381D">
              <w:rPr>
                <w:rFonts w:ascii="Arial" w:hAnsi="Arial" w:cs="Arial"/>
              </w:rPr>
              <w:t>m</w:t>
            </w:r>
            <w:r w:rsidR="00AE1CB1">
              <w:rPr>
                <w:rFonts w:ascii="Arial" w:hAnsi="Arial" w:cs="Arial"/>
              </w:rPr>
              <w:t xml:space="preserve"> for 201</w:t>
            </w:r>
            <w:r w:rsidR="009D1E60">
              <w:rPr>
                <w:rFonts w:ascii="Arial" w:hAnsi="Arial" w:cs="Arial"/>
              </w:rPr>
              <w:t>5</w:t>
            </w:r>
            <w:r w:rsidR="00AE1CB1">
              <w:rPr>
                <w:rFonts w:ascii="Arial" w:hAnsi="Arial" w:cs="Arial"/>
              </w:rPr>
              <w:t>/1</w:t>
            </w:r>
            <w:r w:rsidR="009D1E60">
              <w:rPr>
                <w:rFonts w:ascii="Arial" w:hAnsi="Arial" w:cs="Arial"/>
              </w:rPr>
              <w:t>6</w:t>
            </w:r>
            <w:r w:rsidR="008F381D">
              <w:rPr>
                <w:rFonts w:ascii="Arial" w:hAnsi="Arial" w:cs="Arial"/>
              </w:rPr>
              <w:t>, with a contribution to reserves of £574,000, subject to confirmation of collection fund balances and council tax base.</w:t>
            </w:r>
          </w:p>
          <w:p w14:paraId="225CFD77" w14:textId="77777777" w:rsidR="00591426" w:rsidRDefault="00591426" w:rsidP="008F381D">
            <w:pPr>
              <w:ind w:left="612"/>
            </w:pPr>
          </w:p>
        </w:tc>
      </w:tr>
    </w:tbl>
    <w:p w14:paraId="225CFD79" w14:textId="77777777" w:rsidR="00591426" w:rsidRDefault="00591426" w:rsidP="00F72E0D">
      <w:pPr>
        <w:rPr>
          <w:rFonts w:ascii="Arial" w:hAnsi="Arial" w:cs="Arial"/>
        </w:rPr>
      </w:pPr>
    </w:p>
    <w:p w14:paraId="225CFD7A" w14:textId="77777777" w:rsidR="006F364E" w:rsidRPr="006D45C8" w:rsidRDefault="006F364E" w:rsidP="00F72E0D">
      <w:pPr>
        <w:rPr>
          <w:rFonts w:ascii="Arial" w:hAnsi="Arial" w:cs="Arial"/>
        </w:rPr>
      </w:pPr>
    </w:p>
    <w:p w14:paraId="225CFD7B" w14:textId="77777777" w:rsidR="00591426" w:rsidRDefault="00591426" w:rsidP="00F72E0D">
      <w:pPr>
        <w:pStyle w:val="sssubhead1"/>
      </w:pPr>
      <w:r>
        <w:t>Background</w:t>
      </w:r>
    </w:p>
    <w:p w14:paraId="225CFD7C" w14:textId="77777777" w:rsidR="00A9284F" w:rsidRPr="005F3E61" w:rsidRDefault="00A9284F" w:rsidP="00A9284F">
      <w:pPr>
        <w:pStyle w:val="PlainText"/>
        <w:rPr>
          <w:rFonts w:ascii="Arial" w:hAnsi="Arial" w:cs="Arial"/>
          <w:sz w:val="24"/>
          <w:szCs w:val="24"/>
        </w:rPr>
      </w:pPr>
    </w:p>
    <w:p w14:paraId="225CFD7D" w14:textId="47B2C972" w:rsidR="00A9284F" w:rsidRDefault="00A9284F" w:rsidP="00A9284F">
      <w:pPr>
        <w:pStyle w:val="BodyTextIndent"/>
      </w:pPr>
      <w:r>
        <w:t>At its meeting in December 201</w:t>
      </w:r>
      <w:r w:rsidR="009D1E60">
        <w:t>4</w:t>
      </w:r>
      <w:r>
        <w:t>, the Fir</w:t>
      </w:r>
      <w:r w:rsidR="006346CE">
        <w:t xml:space="preserve">e Authority considered a budget </w:t>
      </w:r>
      <w:r>
        <w:t>package for consultation, which was based on the following:</w:t>
      </w:r>
    </w:p>
    <w:p w14:paraId="225CFD7E" w14:textId="77777777" w:rsidR="00A9284F" w:rsidRDefault="00A9284F" w:rsidP="00A9284F">
      <w:pPr>
        <w:pStyle w:val="BodyTextIndent"/>
      </w:pPr>
    </w:p>
    <w:p w14:paraId="225CFD7F" w14:textId="77777777" w:rsidR="00A9284F" w:rsidRDefault="00A9284F" w:rsidP="00A9284F">
      <w:pPr>
        <w:pStyle w:val="BodyTextIndent"/>
        <w:numPr>
          <w:ilvl w:val="0"/>
          <w:numId w:val="20"/>
        </w:numPr>
        <w:tabs>
          <w:tab w:val="clear" w:pos="2478"/>
          <w:tab w:val="num" w:pos="1260"/>
        </w:tabs>
        <w:ind w:left="1276" w:hanging="567"/>
      </w:pPr>
      <w:r>
        <w:t>An expenditure budget of £</w:t>
      </w:r>
      <w:r w:rsidR="001673BE">
        <w:t>20.557</w:t>
      </w:r>
      <w:r>
        <w:t>m for 201</w:t>
      </w:r>
      <w:r w:rsidR="001673BE">
        <w:t>5</w:t>
      </w:r>
      <w:r>
        <w:t>/1</w:t>
      </w:r>
      <w:r w:rsidR="001673BE">
        <w:t>6</w:t>
      </w:r>
      <w:r>
        <w:t xml:space="preserve"> with a projected surplus of £</w:t>
      </w:r>
      <w:r w:rsidR="001673BE">
        <w:t>362</w:t>
      </w:r>
      <w:r>
        <w:t>,000, making a total budget requirement of £20.</w:t>
      </w:r>
      <w:r w:rsidR="001673BE">
        <w:t>919</w:t>
      </w:r>
      <w:r>
        <w:t>m;</w:t>
      </w:r>
    </w:p>
    <w:p w14:paraId="225CFD80" w14:textId="77777777" w:rsidR="00A9284F" w:rsidRDefault="00A9284F" w:rsidP="00A9284F">
      <w:pPr>
        <w:pStyle w:val="BodyTextIndent"/>
        <w:numPr>
          <w:ilvl w:val="0"/>
          <w:numId w:val="20"/>
        </w:numPr>
        <w:tabs>
          <w:tab w:val="clear" w:pos="2478"/>
          <w:tab w:val="num" w:pos="1260"/>
        </w:tabs>
        <w:ind w:left="1276" w:hanging="567"/>
      </w:pPr>
      <w:r>
        <w:t xml:space="preserve">A council tax precept increase of </w:t>
      </w:r>
      <w:r w:rsidR="001673BE">
        <w:t>1.99</w:t>
      </w:r>
      <w:r>
        <w:t xml:space="preserve">%, </w:t>
      </w:r>
      <w:r w:rsidR="001673BE">
        <w:t xml:space="preserve">which was dependant on the </w:t>
      </w:r>
      <w:r>
        <w:t>announcement of a council tax referendum threshold of 2.0%;</w:t>
      </w:r>
      <w:r w:rsidR="006F364E">
        <w:t xml:space="preserve"> and</w:t>
      </w:r>
    </w:p>
    <w:p w14:paraId="225CFD81" w14:textId="77777777" w:rsidR="00A9284F" w:rsidRDefault="00A9284F" w:rsidP="00A9284F">
      <w:pPr>
        <w:pStyle w:val="BodyTextIndent"/>
        <w:numPr>
          <w:ilvl w:val="0"/>
          <w:numId w:val="20"/>
        </w:numPr>
        <w:tabs>
          <w:tab w:val="clear" w:pos="2478"/>
          <w:tab w:val="num" w:pos="1260"/>
        </w:tabs>
        <w:ind w:left="1276" w:hanging="567"/>
      </w:pPr>
      <w:r>
        <w:t xml:space="preserve">An assumed council tax base of </w:t>
      </w:r>
      <w:r w:rsidR="001673BE">
        <w:t>145,939.82</w:t>
      </w:r>
      <w:r>
        <w:t>, with no assumed surplus or deficit.</w:t>
      </w:r>
    </w:p>
    <w:p w14:paraId="225CFD82" w14:textId="77777777" w:rsidR="00A9284F" w:rsidRDefault="00A9284F" w:rsidP="00A9284F">
      <w:pPr>
        <w:pStyle w:val="BodyTextIndent"/>
        <w:tabs>
          <w:tab w:val="num" w:pos="1260"/>
        </w:tabs>
        <w:ind w:left="1276"/>
      </w:pPr>
    </w:p>
    <w:p w14:paraId="225CFD83" w14:textId="77777777" w:rsidR="00B45948" w:rsidRDefault="006F364E" w:rsidP="00B45948">
      <w:pPr>
        <w:pStyle w:val="BodyTextIndent"/>
      </w:pPr>
      <w:r>
        <w:t>At that</w:t>
      </w:r>
      <w:r w:rsidR="00B45948">
        <w:t xml:space="preserve"> meeting, the Fire Authority also considered the long-term financial implications of the proposed council tax freeze grant, available to those authorities that held precept levels at the same as those charged in 201</w:t>
      </w:r>
      <w:r w:rsidR="003737D5">
        <w:t>4</w:t>
      </w:r>
      <w:r w:rsidR="00B45948">
        <w:t>/1</w:t>
      </w:r>
      <w:r w:rsidR="003737D5">
        <w:t xml:space="preserve">5, </w:t>
      </w:r>
      <w:r w:rsidR="00B45948">
        <w:t xml:space="preserve">payable for </w:t>
      </w:r>
      <w:r w:rsidR="003737D5">
        <w:t>one year</w:t>
      </w:r>
      <w:r w:rsidR="00B45948">
        <w:t>.</w:t>
      </w:r>
    </w:p>
    <w:p w14:paraId="225CFD84" w14:textId="77777777" w:rsidR="00B45948" w:rsidRDefault="00B45948" w:rsidP="00B45948">
      <w:pPr>
        <w:pStyle w:val="BodyTextIndent"/>
      </w:pPr>
    </w:p>
    <w:p w14:paraId="225CFD85" w14:textId="77777777" w:rsidR="00AE7249" w:rsidRPr="00AE7249" w:rsidRDefault="00B45948" w:rsidP="00AE7249">
      <w:pPr>
        <w:pStyle w:val="BodyTextIndent"/>
      </w:pPr>
      <w:r>
        <w:lastRenderedPageBreak/>
        <w:t>The</w:t>
      </w:r>
      <w:r w:rsidR="006F364E">
        <w:t xml:space="preserve"> Fire</w:t>
      </w:r>
      <w:r>
        <w:t xml:space="preserve"> Authority concluded that the freeze grant for 201</w:t>
      </w:r>
      <w:r w:rsidR="003737D5">
        <w:t>5</w:t>
      </w:r>
      <w:r>
        <w:t>/1</w:t>
      </w:r>
      <w:r w:rsidR="003737D5">
        <w:t>6</w:t>
      </w:r>
      <w:r>
        <w:t xml:space="preserve"> should be declined, and that planning and consultation should continue to be based on a precept increase of </w:t>
      </w:r>
      <w:r w:rsidR="003737D5">
        <w:t>1.99</w:t>
      </w:r>
      <w:r>
        <w:t>% in 201</w:t>
      </w:r>
      <w:r w:rsidR="003737D5">
        <w:t>5</w:t>
      </w:r>
      <w:r>
        <w:t>/1</w:t>
      </w:r>
      <w:r w:rsidR="003737D5">
        <w:t>6</w:t>
      </w:r>
      <w:r>
        <w:t xml:space="preserve"> and the years following.</w:t>
      </w:r>
    </w:p>
    <w:p w14:paraId="225CFD86" w14:textId="77777777" w:rsidR="00AE7249" w:rsidRDefault="00AE7249" w:rsidP="00AE7249">
      <w:pPr>
        <w:pStyle w:val="PlainText"/>
        <w:rPr>
          <w:rFonts w:ascii="Arial" w:hAnsi="Arial" w:cs="Arial"/>
          <w:sz w:val="24"/>
          <w:szCs w:val="24"/>
        </w:rPr>
      </w:pPr>
    </w:p>
    <w:p w14:paraId="225CFD87" w14:textId="77777777" w:rsidR="00AE7249" w:rsidRDefault="00AE7249" w:rsidP="00AE7249">
      <w:pPr>
        <w:pStyle w:val="PlainText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position in December is summarised as follows:</w:t>
      </w:r>
    </w:p>
    <w:p w14:paraId="225CFD88" w14:textId="77777777" w:rsidR="009D1E60" w:rsidRDefault="009D1E60" w:rsidP="00AE7249">
      <w:pPr>
        <w:pStyle w:val="PlainText"/>
        <w:ind w:left="709"/>
        <w:rPr>
          <w:rFonts w:ascii="Arial" w:hAnsi="Arial" w:cs="Arial"/>
          <w:sz w:val="24"/>
          <w:szCs w:val="24"/>
        </w:rPr>
      </w:pP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1134"/>
        <w:gridCol w:w="1134"/>
        <w:gridCol w:w="1134"/>
        <w:gridCol w:w="1134"/>
        <w:gridCol w:w="1134"/>
      </w:tblGrid>
      <w:tr w:rsidR="009D1E60" w:rsidRPr="00D90774" w14:paraId="225CFD94" w14:textId="77777777" w:rsidTr="006346CE">
        <w:trPr>
          <w:trHeight w:val="454"/>
        </w:trPr>
        <w:tc>
          <w:tcPr>
            <w:tcW w:w="3941" w:type="dxa"/>
          </w:tcPr>
          <w:p w14:paraId="225CFD89" w14:textId="77777777" w:rsidR="009D1E60" w:rsidRPr="00D90774" w:rsidRDefault="009D1E60" w:rsidP="00C17CF8">
            <w:pPr>
              <w:pStyle w:val="Default"/>
            </w:pPr>
          </w:p>
        </w:tc>
        <w:tc>
          <w:tcPr>
            <w:tcW w:w="1134" w:type="dxa"/>
            <w:vAlign w:val="center"/>
          </w:tcPr>
          <w:p w14:paraId="225CFD8A" w14:textId="77777777" w:rsidR="009D1E60" w:rsidRPr="00D90774" w:rsidRDefault="009D1E60" w:rsidP="00C17CF8">
            <w:pPr>
              <w:pStyle w:val="Default"/>
              <w:jc w:val="right"/>
              <w:rPr>
                <w:b/>
              </w:rPr>
            </w:pPr>
            <w:r w:rsidRPr="00D90774">
              <w:rPr>
                <w:b/>
              </w:rPr>
              <w:t>2015/16</w:t>
            </w:r>
          </w:p>
          <w:p w14:paraId="225CFD8B" w14:textId="77777777" w:rsidR="009D1E60" w:rsidRPr="00D90774" w:rsidRDefault="009D1E60" w:rsidP="00C17CF8">
            <w:pPr>
              <w:pStyle w:val="Default"/>
              <w:jc w:val="right"/>
              <w:rPr>
                <w:b/>
              </w:rPr>
            </w:pPr>
            <w:r w:rsidRPr="00D90774">
              <w:rPr>
                <w:b/>
              </w:rPr>
              <w:t>£000</w:t>
            </w:r>
          </w:p>
        </w:tc>
        <w:tc>
          <w:tcPr>
            <w:tcW w:w="1134" w:type="dxa"/>
            <w:vAlign w:val="center"/>
          </w:tcPr>
          <w:p w14:paraId="225CFD8C" w14:textId="77777777" w:rsidR="009D1E60" w:rsidRPr="00D90774" w:rsidRDefault="009D1E60" w:rsidP="00C17CF8">
            <w:pPr>
              <w:pStyle w:val="Default"/>
              <w:jc w:val="right"/>
              <w:rPr>
                <w:b/>
              </w:rPr>
            </w:pPr>
            <w:r w:rsidRPr="00D90774">
              <w:rPr>
                <w:b/>
              </w:rPr>
              <w:t>2016/17</w:t>
            </w:r>
          </w:p>
          <w:p w14:paraId="225CFD8D" w14:textId="77777777" w:rsidR="009D1E60" w:rsidRPr="00D90774" w:rsidRDefault="009D1E60" w:rsidP="00C17CF8">
            <w:pPr>
              <w:pStyle w:val="Default"/>
              <w:jc w:val="right"/>
              <w:rPr>
                <w:b/>
              </w:rPr>
            </w:pPr>
            <w:r w:rsidRPr="00D90774">
              <w:rPr>
                <w:b/>
              </w:rPr>
              <w:t>£000</w:t>
            </w:r>
          </w:p>
        </w:tc>
        <w:tc>
          <w:tcPr>
            <w:tcW w:w="1134" w:type="dxa"/>
            <w:vAlign w:val="center"/>
          </w:tcPr>
          <w:p w14:paraId="225CFD8E" w14:textId="77777777" w:rsidR="009D1E60" w:rsidRPr="00D90774" w:rsidRDefault="009D1E60" w:rsidP="00C17CF8">
            <w:pPr>
              <w:pStyle w:val="Default"/>
              <w:jc w:val="right"/>
              <w:rPr>
                <w:b/>
              </w:rPr>
            </w:pPr>
            <w:r w:rsidRPr="00D90774">
              <w:rPr>
                <w:b/>
              </w:rPr>
              <w:t>2017/18</w:t>
            </w:r>
          </w:p>
          <w:p w14:paraId="225CFD8F" w14:textId="77777777" w:rsidR="009D1E60" w:rsidRPr="00D90774" w:rsidRDefault="009D1E60" w:rsidP="00C17CF8">
            <w:pPr>
              <w:pStyle w:val="Default"/>
              <w:jc w:val="right"/>
              <w:rPr>
                <w:b/>
              </w:rPr>
            </w:pPr>
            <w:r w:rsidRPr="00D90774">
              <w:rPr>
                <w:b/>
              </w:rPr>
              <w:t>£000</w:t>
            </w:r>
          </w:p>
        </w:tc>
        <w:tc>
          <w:tcPr>
            <w:tcW w:w="1134" w:type="dxa"/>
            <w:vAlign w:val="center"/>
          </w:tcPr>
          <w:p w14:paraId="225CFD90" w14:textId="77777777" w:rsidR="009D1E60" w:rsidRPr="00D90774" w:rsidRDefault="009D1E60" w:rsidP="00C17CF8">
            <w:pPr>
              <w:pStyle w:val="Default"/>
              <w:jc w:val="right"/>
              <w:rPr>
                <w:b/>
              </w:rPr>
            </w:pPr>
            <w:r w:rsidRPr="00D90774">
              <w:rPr>
                <w:b/>
              </w:rPr>
              <w:t>2018/19</w:t>
            </w:r>
          </w:p>
          <w:p w14:paraId="225CFD91" w14:textId="77777777" w:rsidR="009D1E60" w:rsidRPr="00D90774" w:rsidRDefault="009D1E60" w:rsidP="00C17CF8">
            <w:pPr>
              <w:pStyle w:val="Default"/>
              <w:jc w:val="right"/>
              <w:rPr>
                <w:b/>
              </w:rPr>
            </w:pPr>
            <w:r w:rsidRPr="00D90774">
              <w:rPr>
                <w:b/>
              </w:rPr>
              <w:t>£000</w:t>
            </w:r>
          </w:p>
        </w:tc>
        <w:tc>
          <w:tcPr>
            <w:tcW w:w="1134" w:type="dxa"/>
          </w:tcPr>
          <w:p w14:paraId="225CFD92" w14:textId="77777777" w:rsidR="009D1E60" w:rsidRPr="00D90774" w:rsidRDefault="009D1E60" w:rsidP="00C17CF8">
            <w:pPr>
              <w:pStyle w:val="Default"/>
              <w:jc w:val="right"/>
              <w:rPr>
                <w:b/>
              </w:rPr>
            </w:pPr>
            <w:r w:rsidRPr="00D90774">
              <w:rPr>
                <w:b/>
              </w:rPr>
              <w:t>2019/20</w:t>
            </w:r>
          </w:p>
          <w:p w14:paraId="225CFD93" w14:textId="77777777" w:rsidR="009D1E60" w:rsidRPr="00D90774" w:rsidRDefault="009D1E60" w:rsidP="00C17CF8">
            <w:pPr>
              <w:pStyle w:val="Default"/>
              <w:jc w:val="right"/>
              <w:rPr>
                <w:b/>
              </w:rPr>
            </w:pPr>
            <w:r w:rsidRPr="00D90774">
              <w:rPr>
                <w:b/>
              </w:rPr>
              <w:t>£000</w:t>
            </w:r>
          </w:p>
        </w:tc>
      </w:tr>
      <w:tr w:rsidR="009D1E60" w:rsidRPr="00D90774" w14:paraId="225CFD9D" w14:textId="77777777" w:rsidTr="006346CE">
        <w:trPr>
          <w:trHeight w:val="454"/>
        </w:trPr>
        <w:tc>
          <w:tcPr>
            <w:tcW w:w="3941" w:type="dxa"/>
            <w:vAlign w:val="center"/>
          </w:tcPr>
          <w:p w14:paraId="225CFD95" w14:textId="77777777" w:rsidR="009D1E60" w:rsidRPr="00D90774" w:rsidRDefault="009D1E60" w:rsidP="00C17CF8">
            <w:pPr>
              <w:pStyle w:val="Default"/>
            </w:pPr>
            <w:r w:rsidRPr="00D90774">
              <w:t>Expenditure budget proposed by the Committee</w:t>
            </w:r>
          </w:p>
        </w:tc>
        <w:tc>
          <w:tcPr>
            <w:tcW w:w="1134" w:type="dxa"/>
            <w:vAlign w:val="center"/>
          </w:tcPr>
          <w:p w14:paraId="225CFD96" w14:textId="77777777" w:rsidR="009D1E60" w:rsidRPr="00D90774" w:rsidRDefault="009D1E60" w:rsidP="00C17CF8">
            <w:pPr>
              <w:pStyle w:val="Default"/>
              <w:jc w:val="right"/>
            </w:pPr>
            <w:r w:rsidRPr="00D90774">
              <w:t>20,557</w:t>
            </w:r>
          </w:p>
        </w:tc>
        <w:tc>
          <w:tcPr>
            <w:tcW w:w="1134" w:type="dxa"/>
            <w:vAlign w:val="center"/>
          </w:tcPr>
          <w:p w14:paraId="225CFD97" w14:textId="77777777" w:rsidR="009D1E60" w:rsidRPr="00D90774" w:rsidRDefault="009D1E60" w:rsidP="00C17CF8">
            <w:pPr>
              <w:pStyle w:val="Default"/>
              <w:jc w:val="right"/>
            </w:pPr>
            <w:r w:rsidRPr="00D90774">
              <w:t>19,497</w:t>
            </w:r>
          </w:p>
        </w:tc>
        <w:tc>
          <w:tcPr>
            <w:tcW w:w="1134" w:type="dxa"/>
            <w:vAlign w:val="center"/>
          </w:tcPr>
          <w:p w14:paraId="225CFD98" w14:textId="77777777" w:rsidR="009D1E60" w:rsidRPr="00D90774" w:rsidRDefault="009D1E60" w:rsidP="00C17CF8">
            <w:pPr>
              <w:pStyle w:val="Default"/>
              <w:jc w:val="right"/>
            </w:pPr>
            <w:r w:rsidRPr="00D90774">
              <w:t>19,725</w:t>
            </w:r>
          </w:p>
        </w:tc>
        <w:tc>
          <w:tcPr>
            <w:tcW w:w="1134" w:type="dxa"/>
            <w:vAlign w:val="center"/>
          </w:tcPr>
          <w:p w14:paraId="225CFD99" w14:textId="77777777" w:rsidR="009D1E60" w:rsidRPr="00D90774" w:rsidRDefault="009D1E60" w:rsidP="00C17CF8">
            <w:pPr>
              <w:pStyle w:val="Default"/>
              <w:jc w:val="center"/>
            </w:pPr>
            <w:r w:rsidRPr="00D90774">
              <w:t>20,104</w:t>
            </w:r>
          </w:p>
        </w:tc>
        <w:tc>
          <w:tcPr>
            <w:tcW w:w="1134" w:type="dxa"/>
          </w:tcPr>
          <w:p w14:paraId="225CFD9A" w14:textId="77777777" w:rsidR="009D1E60" w:rsidRPr="00D90774" w:rsidRDefault="009D1E60" w:rsidP="00C17CF8">
            <w:pPr>
              <w:pStyle w:val="Default"/>
              <w:jc w:val="right"/>
            </w:pPr>
          </w:p>
          <w:p w14:paraId="225CFD9B" w14:textId="77777777" w:rsidR="009D1E60" w:rsidRPr="00D90774" w:rsidRDefault="009D1E60" w:rsidP="00C17CF8">
            <w:pPr>
              <w:pStyle w:val="Default"/>
              <w:jc w:val="right"/>
            </w:pPr>
            <w:r w:rsidRPr="00D90774">
              <w:t>20,486</w:t>
            </w:r>
          </w:p>
          <w:p w14:paraId="225CFD9C" w14:textId="77777777" w:rsidR="009D1E60" w:rsidRPr="00D90774" w:rsidRDefault="009D1E60" w:rsidP="00C17CF8">
            <w:pPr>
              <w:pStyle w:val="Default"/>
              <w:jc w:val="right"/>
            </w:pPr>
          </w:p>
        </w:tc>
      </w:tr>
      <w:tr w:rsidR="009D1E60" w:rsidRPr="00D90774" w14:paraId="225CFDA6" w14:textId="77777777" w:rsidTr="006346CE">
        <w:trPr>
          <w:trHeight w:val="454"/>
        </w:trPr>
        <w:tc>
          <w:tcPr>
            <w:tcW w:w="3941" w:type="dxa"/>
            <w:vAlign w:val="center"/>
          </w:tcPr>
          <w:p w14:paraId="225CFD9E" w14:textId="77777777" w:rsidR="009D1E60" w:rsidRPr="00D90774" w:rsidRDefault="009D1E60" w:rsidP="00C17CF8">
            <w:pPr>
              <w:pStyle w:val="Default"/>
            </w:pPr>
            <w:r w:rsidRPr="00D90774">
              <w:t>Income, based upon:</w:t>
            </w:r>
          </w:p>
          <w:p w14:paraId="225CFD9F" w14:textId="7D3EB5A3" w:rsidR="009D1E60" w:rsidRPr="00D90774" w:rsidRDefault="009D1E60" w:rsidP="00C17CF8">
            <w:pPr>
              <w:pStyle w:val="Default"/>
            </w:pPr>
            <w:r w:rsidRPr="00D90774">
              <w:t xml:space="preserve">8% grant reduction from </w:t>
            </w:r>
            <w:r w:rsidR="006346CE">
              <w:t>20</w:t>
            </w:r>
            <w:r w:rsidRPr="00D90774">
              <w:t>16/17</w:t>
            </w:r>
          </w:p>
          <w:p w14:paraId="225CFDA0" w14:textId="667D0EDE" w:rsidR="009D1E60" w:rsidRPr="00D90774" w:rsidRDefault="009D1E60" w:rsidP="00C17CF8">
            <w:pPr>
              <w:pStyle w:val="Default"/>
            </w:pPr>
            <w:r w:rsidRPr="00D90774">
              <w:t xml:space="preserve">2% precept increase from </w:t>
            </w:r>
            <w:r w:rsidR="006346CE">
              <w:t>20</w:t>
            </w:r>
            <w:r w:rsidRPr="00D90774">
              <w:t>16/17</w:t>
            </w:r>
          </w:p>
        </w:tc>
        <w:tc>
          <w:tcPr>
            <w:tcW w:w="1134" w:type="dxa"/>
            <w:vAlign w:val="center"/>
          </w:tcPr>
          <w:p w14:paraId="225CFDA1" w14:textId="77777777" w:rsidR="009D1E60" w:rsidRPr="00D90774" w:rsidRDefault="009D1E60" w:rsidP="00C17CF8">
            <w:pPr>
              <w:pStyle w:val="Default"/>
              <w:jc w:val="right"/>
            </w:pPr>
            <w:r w:rsidRPr="00D90774">
              <w:t>20,919</w:t>
            </w:r>
          </w:p>
        </w:tc>
        <w:tc>
          <w:tcPr>
            <w:tcW w:w="1134" w:type="dxa"/>
            <w:vAlign w:val="center"/>
          </w:tcPr>
          <w:p w14:paraId="225CFDA2" w14:textId="77777777" w:rsidR="009D1E60" w:rsidRPr="00D90774" w:rsidRDefault="009D1E60" w:rsidP="00C17CF8">
            <w:pPr>
              <w:pStyle w:val="Default"/>
              <w:jc w:val="right"/>
            </w:pPr>
            <w:r w:rsidRPr="00D90774">
              <w:t>20,700</w:t>
            </w:r>
          </w:p>
        </w:tc>
        <w:tc>
          <w:tcPr>
            <w:tcW w:w="1134" w:type="dxa"/>
            <w:vAlign w:val="center"/>
          </w:tcPr>
          <w:p w14:paraId="225CFDA3" w14:textId="77777777" w:rsidR="009D1E60" w:rsidRPr="00D90774" w:rsidRDefault="009D1E60" w:rsidP="00C17CF8">
            <w:pPr>
              <w:pStyle w:val="Default"/>
              <w:jc w:val="right"/>
            </w:pPr>
            <w:r w:rsidRPr="00D90774">
              <w:t>20,539</w:t>
            </w:r>
          </w:p>
        </w:tc>
        <w:tc>
          <w:tcPr>
            <w:tcW w:w="1134" w:type="dxa"/>
            <w:vAlign w:val="center"/>
          </w:tcPr>
          <w:p w14:paraId="225CFDA4" w14:textId="77777777" w:rsidR="009D1E60" w:rsidRPr="00D90774" w:rsidRDefault="009D1E60" w:rsidP="00C17CF8">
            <w:pPr>
              <w:pStyle w:val="Default"/>
              <w:jc w:val="right"/>
            </w:pPr>
            <w:r w:rsidRPr="00D90774">
              <w:t>20,433</w:t>
            </w:r>
          </w:p>
        </w:tc>
        <w:tc>
          <w:tcPr>
            <w:tcW w:w="1134" w:type="dxa"/>
            <w:vAlign w:val="center"/>
          </w:tcPr>
          <w:p w14:paraId="225CFDA5" w14:textId="77777777" w:rsidR="009D1E60" w:rsidRPr="00D90774" w:rsidRDefault="009D1E60" w:rsidP="00C17CF8">
            <w:pPr>
              <w:pStyle w:val="Default"/>
              <w:jc w:val="right"/>
            </w:pPr>
            <w:r w:rsidRPr="00D90774">
              <w:t>20,378</w:t>
            </w:r>
          </w:p>
        </w:tc>
      </w:tr>
      <w:tr w:rsidR="009D1E60" w:rsidRPr="00D90774" w14:paraId="225CFDAD" w14:textId="77777777" w:rsidTr="006346CE">
        <w:trPr>
          <w:trHeight w:val="454"/>
        </w:trPr>
        <w:tc>
          <w:tcPr>
            <w:tcW w:w="3941" w:type="dxa"/>
            <w:vAlign w:val="center"/>
          </w:tcPr>
          <w:p w14:paraId="33A8A000" w14:textId="77777777" w:rsidR="006346CE" w:rsidRDefault="006346CE" w:rsidP="00C17CF8">
            <w:pPr>
              <w:pStyle w:val="Default"/>
            </w:pPr>
            <w:r>
              <w:t>Surplus / -deficit on</w:t>
            </w:r>
          </w:p>
          <w:p w14:paraId="225CFDA7" w14:textId="670EE4B5" w:rsidR="009D1E60" w:rsidRPr="00D90774" w:rsidRDefault="009D1E60" w:rsidP="00C17CF8">
            <w:pPr>
              <w:pStyle w:val="Default"/>
            </w:pPr>
            <w:r w:rsidRPr="00D90774">
              <w:t>revenue budget</w:t>
            </w:r>
          </w:p>
        </w:tc>
        <w:tc>
          <w:tcPr>
            <w:tcW w:w="1134" w:type="dxa"/>
            <w:vAlign w:val="center"/>
          </w:tcPr>
          <w:p w14:paraId="225CFDA8" w14:textId="77777777" w:rsidR="009D1E60" w:rsidRPr="00D90774" w:rsidRDefault="009D1E60" w:rsidP="00C17CF8">
            <w:pPr>
              <w:pStyle w:val="Default"/>
              <w:jc w:val="right"/>
            </w:pPr>
            <w:r w:rsidRPr="00D90774">
              <w:t>362</w:t>
            </w:r>
          </w:p>
        </w:tc>
        <w:tc>
          <w:tcPr>
            <w:tcW w:w="1134" w:type="dxa"/>
            <w:vAlign w:val="center"/>
          </w:tcPr>
          <w:p w14:paraId="225CFDA9" w14:textId="77777777" w:rsidR="009D1E60" w:rsidRPr="00D90774" w:rsidRDefault="009D1E60" w:rsidP="00C17CF8">
            <w:pPr>
              <w:pStyle w:val="Default"/>
              <w:jc w:val="right"/>
            </w:pPr>
            <w:r w:rsidRPr="00D90774">
              <w:t>1,203</w:t>
            </w:r>
          </w:p>
        </w:tc>
        <w:tc>
          <w:tcPr>
            <w:tcW w:w="1134" w:type="dxa"/>
            <w:vAlign w:val="center"/>
          </w:tcPr>
          <w:p w14:paraId="225CFDAA" w14:textId="77777777" w:rsidR="009D1E60" w:rsidRPr="00D90774" w:rsidRDefault="009D1E60" w:rsidP="00C17CF8">
            <w:pPr>
              <w:pStyle w:val="Default"/>
              <w:jc w:val="right"/>
            </w:pPr>
            <w:r w:rsidRPr="00D90774">
              <w:t>814</w:t>
            </w:r>
          </w:p>
        </w:tc>
        <w:tc>
          <w:tcPr>
            <w:tcW w:w="1134" w:type="dxa"/>
            <w:vAlign w:val="center"/>
          </w:tcPr>
          <w:p w14:paraId="225CFDAB" w14:textId="77777777" w:rsidR="009D1E60" w:rsidRPr="00D90774" w:rsidRDefault="009D1E60" w:rsidP="00C17CF8">
            <w:pPr>
              <w:pStyle w:val="Default"/>
              <w:jc w:val="right"/>
            </w:pPr>
            <w:r w:rsidRPr="00D90774">
              <w:t>329</w:t>
            </w:r>
          </w:p>
        </w:tc>
        <w:tc>
          <w:tcPr>
            <w:tcW w:w="1134" w:type="dxa"/>
            <w:vAlign w:val="center"/>
          </w:tcPr>
          <w:p w14:paraId="225CFDAC" w14:textId="77777777" w:rsidR="009D1E60" w:rsidRPr="00D90774" w:rsidRDefault="009D1E60" w:rsidP="00C17CF8">
            <w:pPr>
              <w:pStyle w:val="Default"/>
              <w:jc w:val="right"/>
            </w:pPr>
            <w:r w:rsidRPr="00D90774">
              <w:t>-108</w:t>
            </w:r>
          </w:p>
        </w:tc>
      </w:tr>
    </w:tbl>
    <w:p w14:paraId="225CFDAE" w14:textId="77777777" w:rsidR="00B45948" w:rsidRDefault="00B45948" w:rsidP="003737D5">
      <w:pPr>
        <w:pStyle w:val="BodyTextIndent"/>
        <w:ind w:left="0"/>
      </w:pPr>
    </w:p>
    <w:p w14:paraId="225CFDAF" w14:textId="77777777" w:rsidR="00B45948" w:rsidRDefault="00B45948" w:rsidP="00B45948">
      <w:pPr>
        <w:pStyle w:val="BodyTextIndent"/>
      </w:pPr>
      <w:r>
        <w:t>This report updates the Committee on developments since the December meeting, including the publication by Government of the provisional 201</w:t>
      </w:r>
      <w:r w:rsidR="003737D5">
        <w:t>5</w:t>
      </w:r>
      <w:r>
        <w:t>/1</w:t>
      </w:r>
      <w:r w:rsidR="003737D5">
        <w:t>6</w:t>
      </w:r>
      <w:r>
        <w:t xml:space="preserve"> </w:t>
      </w:r>
      <w:r w:rsidR="003737D5">
        <w:t>settlement</w:t>
      </w:r>
      <w:r>
        <w:t>.</w:t>
      </w:r>
    </w:p>
    <w:p w14:paraId="225CFDB0" w14:textId="77777777" w:rsidR="009C7FA8" w:rsidRPr="006D45C8" w:rsidRDefault="009C7FA8" w:rsidP="00F72E0D">
      <w:pPr>
        <w:rPr>
          <w:rFonts w:ascii="Arial" w:hAnsi="Arial" w:cs="Arial"/>
        </w:rPr>
      </w:pPr>
    </w:p>
    <w:p w14:paraId="225CFDB1" w14:textId="77777777" w:rsidR="00051CD1" w:rsidRDefault="00051CD1" w:rsidP="00051CD1">
      <w:pPr>
        <w:pStyle w:val="sssubhead1"/>
        <w:jc w:val="both"/>
      </w:pPr>
      <w:r>
        <w:t>Provisional Grant Settlement 201</w:t>
      </w:r>
      <w:r w:rsidR="003B0CF3">
        <w:t>5</w:t>
      </w:r>
      <w:r>
        <w:t>/1</w:t>
      </w:r>
      <w:r w:rsidR="003B0CF3">
        <w:t>6</w:t>
      </w:r>
    </w:p>
    <w:p w14:paraId="225CFDB2" w14:textId="77777777" w:rsidR="00051CD1" w:rsidRPr="00F9263B" w:rsidRDefault="00051CD1" w:rsidP="00051CD1">
      <w:pPr>
        <w:pStyle w:val="PlainText"/>
        <w:rPr>
          <w:rFonts w:ascii="Arial" w:hAnsi="Arial" w:cs="Arial"/>
          <w:sz w:val="24"/>
          <w:szCs w:val="24"/>
        </w:rPr>
      </w:pPr>
    </w:p>
    <w:p w14:paraId="225CFDB3" w14:textId="4168E33F" w:rsidR="00051CD1" w:rsidRDefault="00051CD1" w:rsidP="00051CD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Information relating to the provisional settlement for 2015/16 was made available to local</w:t>
      </w:r>
      <w:r w:rsidR="003B0CF3">
        <w:rPr>
          <w:rFonts w:ascii="Arial" w:hAnsi="Arial" w:cs="Arial"/>
        </w:rPr>
        <w:t xml:space="preserve"> authorities on 18 December 2014</w:t>
      </w:r>
      <w:r>
        <w:rPr>
          <w:rFonts w:ascii="Arial" w:hAnsi="Arial" w:cs="Arial"/>
        </w:rPr>
        <w:t xml:space="preserve">. </w:t>
      </w:r>
      <w:r w:rsidR="008F6F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provisional grant announced </w:t>
      </w:r>
      <w:r w:rsidR="003B0CF3">
        <w:rPr>
          <w:rFonts w:ascii="Arial" w:hAnsi="Arial" w:cs="Arial"/>
        </w:rPr>
        <w:t>was £25,000 less than the settlement</w:t>
      </w:r>
      <w:r w:rsidR="006346CE">
        <w:rPr>
          <w:rFonts w:ascii="Arial" w:hAnsi="Arial" w:cs="Arial"/>
        </w:rPr>
        <w:t>,</w:t>
      </w:r>
      <w:r w:rsidR="003B0CF3">
        <w:rPr>
          <w:rFonts w:ascii="Arial" w:hAnsi="Arial" w:cs="Arial"/>
        </w:rPr>
        <w:t xml:space="preserve"> which was made available in December 2014</w:t>
      </w:r>
      <w:r>
        <w:rPr>
          <w:rFonts w:ascii="Arial" w:hAnsi="Arial" w:cs="Arial"/>
        </w:rPr>
        <w:t>.</w:t>
      </w:r>
      <w:r w:rsidR="003B0CF3">
        <w:rPr>
          <w:rFonts w:ascii="Arial" w:hAnsi="Arial" w:cs="Arial"/>
        </w:rPr>
        <w:t xml:space="preserve"> </w:t>
      </w:r>
      <w:r w:rsidR="008F6FDA">
        <w:rPr>
          <w:rFonts w:ascii="Arial" w:hAnsi="Arial" w:cs="Arial"/>
        </w:rPr>
        <w:t xml:space="preserve"> </w:t>
      </w:r>
      <w:r w:rsidR="003B0CF3">
        <w:rPr>
          <w:rFonts w:ascii="Arial" w:hAnsi="Arial" w:cs="Arial"/>
        </w:rPr>
        <w:t xml:space="preserve">There was an increase in rural services funding, and a slight decrease in </w:t>
      </w:r>
      <w:r w:rsidR="003D34ED">
        <w:rPr>
          <w:rFonts w:ascii="Arial" w:hAnsi="Arial" w:cs="Arial"/>
        </w:rPr>
        <w:t>Revenue Support Grant to reflect lower employer contributions on the Fire Pension Scheme.</w:t>
      </w:r>
    </w:p>
    <w:p w14:paraId="225CFDB4" w14:textId="77777777" w:rsidR="003D34ED" w:rsidRDefault="003D34ED" w:rsidP="00051CD1">
      <w:pPr>
        <w:ind w:left="720"/>
        <w:rPr>
          <w:rFonts w:ascii="Arial" w:hAnsi="Arial" w:cs="Arial"/>
        </w:rPr>
      </w:pPr>
    </w:p>
    <w:p w14:paraId="225CFDB5" w14:textId="7D8CF062" w:rsidR="003D34ED" w:rsidRDefault="003D34ED" w:rsidP="007D3BE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In total, there has been a reduction in government funding of 8.6% when compared to last year’s settlement.</w:t>
      </w:r>
      <w:r w:rsidR="008F6FDA">
        <w:rPr>
          <w:rFonts w:ascii="Arial" w:hAnsi="Arial" w:cs="Arial"/>
        </w:rPr>
        <w:t xml:space="preserve"> </w:t>
      </w:r>
      <w:r w:rsidR="005B0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terms of spending power, which includes all funding streams including grants and council tax, there is a reduction of 1.8%.</w:t>
      </w:r>
    </w:p>
    <w:p w14:paraId="225CFDB6" w14:textId="77777777" w:rsidR="00051CD1" w:rsidRDefault="00051CD1" w:rsidP="00051CD1">
      <w:pPr>
        <w:rPr>
          <w:rFonts w:ascii="Arial" w:hAnsi="Arial" w:cs="Arial"/>
        </w:rPr>
      </w:pPr>
    </w:p>
    <w:p w14:paraId="225CFDB7" w14:textId="77777777" w:rsidR="00051CD1" w:rsidRDefault="00051CD1" w:rsidP="00E526A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settlement confirmed that </w:t>
      </w:r>
      <w:r w:rsidR="003B0CF3">
        <w:rPr>
          <w:rFonts w:ascii="Arial" w:hAnsi="Arial" w:cs="Arial"/>
        </w:rPr>
        <w:t>those authorities that chose to increase precept levels by more than 2% would trigger a refer</w:t>
      </w:r>
      <w:r w:rsidR="00E526A8">
        <w:rPr>
          <w:rFonts w:ascii="Arial" w:hAnsi="Arial" w:cs="Arial"/>
        </w:rPr>
        <w:t>endum.</w:t>
      </w:r>
    </w:p>
    <w:p w14:paraId="225CFDB8" w14:textId="77777777" w:rsidR="005F3E61" w:rsidRDefault="005F3E61" w:rsidP="00E526A8">
      <w:pPr>
        <w:rPr>
          <w:rFonts w:ascii="Arial" w:hAnsi="Arial" w:cs="Arial"/>
        </w:rPr>
      </w:pPr>
    </w:p>
    <w:p w14:paraId="225CFDB9" w14:textId="77777777" w:rsidR="003C30A3" w:rsidRDefault="003C30A3" w:rsidP="00863E2D">
      <w:pPr>
        <w:pStyle w:val="sssubhead1"/>
        <w:ind w:left="709" w:hanging="709"/>
        <w:jc w:val="both"/>
      </w:pPr>
      <w:r>
        <w:t>Funding of the Capital Programme</w:t>
      </w:r>
    </w:p>
    <w:p w14:paraId="225CFDBA" w14:textId="77777777" w:rsidR="003C30A3" w:rsidRPr="008F6FDA" w:rsidRDefault="003C30A3" w:rsidP="003C30A3">
      <w:pPr>
        <w:pStyle w:val="PlainText"/>
        <w:rPr>
          <w:rFonts w:ascii="Arial" w:hAnsi="Arial" w:cs="Arial"/>
          <w:sz w:val="24"/>
          <w:szCs w:val="24"/>
        </w:rPr>
      </w:pPr>
    </w:p>
    <w:p w14:paraId="225CFDBB" w14:textId="16B950E1" w:rsidR="003C30A3" w:rsidRDefault="003C30A3" w:rsidP="003C30A3">
      <w:pPr>
        <w:pStyle w:val="PlainText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capital programme for 2015/16 to 2019/20 has been reviewed and finalised by officers, and presented to the Committee for </w:t>
      </w:r>
      <w:r w:rsidR="002012D4">
        <w:rPr>
          <w:rFonts w:ascii="Arial" w:hAnsi="Arial" w:cs="Arial"/>
          <w:sz w:val="24"/>
          <w:szCs w:val="24"/>
        </w:rPr>
        <w:t>recommendation to the Fire Authority</w:t>
      </w:r>
      <w:r>
        <w:rPr>
          <w:rFonts w:ascii="Arial" w:hAnsi="Arial" w:cs="Arial"/>
          <w:sz w:val="24"/>
          <w:szCs w:val="24"/>
        </w:rPr>
        <w:t>.</w:t>
      </w:r>
      <w:r w:rsidR="008F6F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It is proposed that the schemes contained within the programme to 2018/19 are funded from revenue balances; this will </w:t>
      </w:r>
      <w:r w:rsidR="002012D4">
        <w:rPr>
          <w:rFonts w:ascii="Arial" w:hAnsi="Arial" w:cs="Arial"/>
          <w:sz w:val="24"/>
          <w:szCs w:val="24"/>
        </w:rPr>
        <w:t xml:space="preserve">effectively utilise the surplus balances within the revenue budget, and will also </w:t>
      </w:r>
      <w:r>
        <w:rPr>
          <w:rFonts w:ascii="Arial" w:hAnsi="Arial" w:cs="Arial"/>
          <w:sz w:val="24"/>
          <w:szCs w:val="24"/>
        </w:rPr>
        <w:t>avoid debt charges in</w:t>
      </w:r>
      <w:r w:rsidR="002012D4">
        <w:rPr>
          <w:rFonts w:ascii="Arial" w:hAnsi="Arial" w:cs="Arial"/>
          <w:sz w:val="24"/>
          <w:szCs w:val="24"/>
        </w:rPr>
        <w:t>to the long term.</w:t>
      </w:r>
    </w:p>
    <w:p w14:paraId="1AB60254" w14:textId="77777777" w:rsidR="008F6FDA" w:rsidRPr="003C30A3" w:rsidRDefault="008F6FDA" w:rsidP="003C30A3">
      <w:pPr>
        <w:pStyle w:val="PlainText"/>
        <w:ind w:left="709"/>
        <w:rPr>
          <w:rFonts w:ascii="Arial" w:hAnsi="Arial" w:cs="Arial"/>
          <w:sz w:val="24"/>
          <w:szCs w:val="24"/>
        </w:rPr>
      </w:pPr>
    </w:p>
    <w:p w14:paraId="225CFDBD" w14:textId="77777777" w:rsidR="00863E2D" w:rsidRDefault="00863E2D" w:rsidP="00863E2D">
      <w:pPr>
        <w:pStyle w:val="sssubhead1"/>
        <w:ind w:left="709" w:hanging="709"/>
        <w:jc w:val="both"/>
      </w:pPr>
      <w:r>
        <w:t>Council Tax Base and Collection Fund</w:t>
      </w:r>
    </w:p>
    <w:p w14:paraId="225CFDBE" w14:textId="77777777" w:rsidR="00863E2D" w:rsidRPr="005F3E61" w:rsidRDefault="00863E2D" w:rsidP="00863E2D">
      <w:pPr>
        <w:rPr>
          <w:rFonts w:ascii="Arial" w:hAnsi="Arial" w:cs="Arial"/>
        </w:rPr>
      </w:pPr>
    </w:p>
    <w:p w14:paraId="225CFDBF" w14:textId="77777777" w:rsidR="00863E2D" w:rsidRDefault="00863E2D" w:rsidP="007D3BE7">
      <w:pPr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Council Tax Base</w:t>
      </w:r>
    </w:p>
    <w:p w14:paraId="4B468A51" w14:textId="77777777" w:rsidR="006346CE" w:rsidRDefault="006346CE" w:rsidP="00863E2D">
      <w:pPr>
        <w:ind w:left="709"/>
        <w:rPr>
          <w:rFonts w:ascii="Arial" w:hAnsi="Arial" w:cs="Arial"/>
        </w:rPr>
      </w:pPr>
    </w:p>
    <w:p w14:paraId="782F30E8" w14:textId="77777777" w:rsidR="006346CE" w:rsidRDefault="008B7621" w:rsidP="00863E2D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The c</w:t>
      </w:r>
      <w:r w:rsidR="007906EF">
        <w:rPr>
          <w:rFonts w:ascii="Arial" w:hAnsi="Arial" w:cs="Arial"/>
        </w:rPr>
        <w:t>ouncil tax base</w:t>
      </w:r>
      <w:r w:rsidR="007D3BE7">
        <w:rPr>
          <w:rFonts w:ascii="Arial" w:hAnsi="Arial" w:cs="Arial"/>
        </w:rPr>
        <w:t>s</w:t>
      </w:r>
      <w:r w:rsidR="007906EF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>Shrop</w:t>
      </w:r>
      <w:r w:rsidR="007D3BE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hire Council </w:t>
      </w:r>
      <w:r w:rsidR="007D3BE7">
        <w:rPr>
          <w:rFonts w:ascii="Arial" w:hAnsi="Arial" w:cs="Arial"/>
        </w:rPr>
        <w:t xml:space="preserve">and the Borough of Telford &amp; Wrekin </w:t>
      </w:r>
      <w:r>
        <w:rPr>
          <w:rFonts w:ascii="Arial" w:hAnsi="Arial" w:cs="Arial"/>
        </w:rPr>
        <w:t xml:space="preserve">for </w:t>
      </w:r>
      <w:r w:rsidR="007906EF">
        <w:rPr>
          <w:rFonts w:ascii="Arial" w:hAnsi="Arial" w:cs="Arial"/>
        </w:rPr>
        <w:t>201</w:t>
      </w:r>
      <w:r>
        <w:rPr>
          <w:rFonts w:ascii="Arial" w:hAnsi="Arial" w:cs="Arial"/>
        </w:rPr>
        <w:t>5</w:t>
      </w:r>
      <w:r w:rsidR="007906EF">
        <w:rPr>
          <w:rFonts w:ascii="Arial" w:hAnsi="Arial" w:cs="Arial"/>
        </w:rPr>
        <w:t>/1</w:t>
      </w:r>
      <w:r>
        <w:rPr>
          <w:rFonts w:ascii="Arial" w:hAnsi="Arial" w:cs="Arial"/>
        </w:rPr>
        <w:t>6</w:t>
      </w:r>
      <w:r w:rsidR="007906EF">
        <w:rPr>
          <w:rFonts w:ascii="Arial" w:hAnsi="Arial" w:cs="Arial"/>
        </w:rPr>
        <w:t xml:space="preserve"> ha</w:t>
      </w:r>
      <w:r w:rsidR="007D3BE7">
        <w:rPr>
          <w:rFonts w:ascii="Arial" w:hAnsi="Arial" w:cs="Arial"/>
        </w:rPr>
        <w:t>ve</w:t>
      </w:r>
      <w:r w:rsidR="007906EF">
        <w:rPr>
          <w:rFonts w:ascii="Arial" w:hAnsi="Arial" w:cs="Arial"/>
        </w:rPr>
        <w:t xml:space="preserve"> now been confirmed</w:t>
      </w:r>
      <w:r w:rsidR="007D3BE7">
        <w:rPr>
          <w:rFonts w:ascii="Arial" w:hAnsi="Arial" w:cs="Arial"/>
        </w:rPr>
        <w:t>.</w:t>
      </w:r>
    </w:p>
    <w:p w14:paraId="225CFDC0" w14:textId="45743815" w:rsidR="007906EF" w:rsidRDefault="008B7621" w:rsidP="00863E2D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</w:t>
      </w:r>
      <w:r w:rsidR="007D3BE7">
        <w:rPr>
          <w:rFonts w:ascii="Arial" w:hAnsi="Arial" w:cs="Arial"/>
        </w:rPr>
        <w:t xml:space="preserve">total </w:t>
      </w:r>
      <w:r>
        <w:rPr>
          <w:rFonts w:ascii="Arial" w:hAnsi="Arial" w:cs="Arial"/>
        </w:rPr>
        <w:t xml:space="preserve">base </w:t>
      </w:r>
      <w:r w:rsidR="007D3BE7">
        <w:rPr>
          <w:rFonts w:ascii="Arial" w:hAnsi="Arial" w:cs="Arial"/>
        </w:rPr>
        <w:t xml:space="preserve">for the Fire Authority </w:t>
      </w:r>
      <w:r>
        <w:rPr>
          <w:rFonts w:ascii="Arial" w:hAnsi="Arial" w:cs="Arial"/>
        </w:rPr>
        <w:t xml:space="preserve">is 147,603.03, </w:t>
      </w:r>
      <w:r w:rsidR="007906EF">
        <w:rPr>
          <w:rFonts w:ascii="Arial" w:hAnsi="Arial" w:cs="Arial"/>
        </w:rPr>
        <w:t>an increase of 1.</w:t>
      </w:r>
      <w:r>
        <w:rPr>
          <w:rFonts w:ascii="Arial" w:hAnsi="Arial" w:cs="Arial"/>
        </w:rPr>
        <w:t>95</w:t>
      </w:r>
      <w:r w:rsidR="007906EF">
        <w:rPr>
          <w:rFonts w:ascii="Arial" w:hAnsi="Arial" w:cs="Arial"/>
        </w:rPr>
        <w:t>% on the base in 201</w:t>
      </w:r>
      <w:r>
        <w:rPr>
          <w:rFonts w:ascii="Arial" w:hAnsi="Arial" w:cs="Arial"/>
        </w:rPr>
        <w:t>4</w:t>
      </w:r>
      <w:r w:rsidR="007906EF">
        <w:rPr>
          <w:rFonts w:ascii="Arial" w:hAnsi="Arial" w:cs="Arial"/>
        </w:rPr>
        <w:t>/1</w:t>
      </w:r>
      <w:r>
        <w:rPr>
          <w:rFonts w:ascii="Arial" w:hAnsi="Arial" w:cs="Arial"/>
        </w:rPr>
        <w:t>5</w:t>
      </w:r>
      <w:r w:rsidR="007906EF">
        <w:rPr>
          <w:rFonts w:ascii="Arial" w:hAnsi="Arial" w:cs="Arial"/>
        </w:rPr>
        <w:t>.</w:t>
      </w:r>
      <w:r w:rsidR="006F364E">
        <w:rPr>
          <w:rFonts w:ascii="Arial" w:hAnsi="Arial" w:cs="Arial"/>
        </w:rPr>
        <w:t xml:space="preserve"> </w:t>
      </w:r>
      <w:r w:rsidR="007906EF">
        <w:rPr>
          <w:rFonts w:ascii="Arial" w:hAnsi="Arial" w:cs="Arial"/>
        </w:rPr>
        <w:t xml:space="preserve"> The strategic planning model has been updated</w:t>
      </w:r>
      <w:r w:rsidR="006F364E">
        <w:rPr>
          <w:rFonts w:ascii="Arial" w:hAnsi="Arial" w:cs="Arial"/>
        </w:rPr>
        <w:t xml:space="preserve"> accordingly</w:t>
      </w:r>
      <w:r w:rsidR="003E3AF5">
        <w:rPr>
          <w:rFonts w:ascii="Arial" w:hAnsi="Arial" w:cs="Arial"/>
        </w:rPr>
        <w:t>, and has resulted in additional income of £153,000.</w:t>
      </w:r>
    </w:p>
    <w:p w14:paraId="225CFDC1" w14:textId="77777777" w:rsidR="007906EF" w:rsidRDefault="007906EF" w:rsidP="00863E2D">
      <w:pPr>
        <w:ind w:left="709"/>
        <w:rPr>
          <w:rFonts w:ascii="Arial" w:hAnsi="Arial" w:cs="Arial"/>
        </w:rPr>
      </w:pPr>
    </w:p>
    <w:p w14:paraId="225CFDC2" w14:textId="77777777" w:rsidR="00863E2D" w:rsidRDefault="007906EF" w:rsidP="00863E2D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For 201</w:t>
      </w:r>
      <w:r w:rsidR="008B7621">
        <w:rPr>
          <w:rFonts w:ascii="Arial" w:hAnsi="Arial" w:cs="Arial"/>
        </w:rPr>
        <w:t>6</w:t>
      </w:r>
      <w:r>
        <w:rPr>
          <w:rFonts w:ascii="Arial" w:hAnsi="Arial" w:cs="Arial"/>
        </w:rPr>
        <w:t>/1</w:t>
      </w:r>
      <w:r w:rsidR="008B762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onwards, c</w:t>
      </w:r>
      <w:r w:rsidR="00863E2D">
        <w:rPr>
          <w:rFonts w:ascii="Arial" w:hAnsi="Arial" w:cs="Arial"/>
        </w:rPr>
        <w:t>ouncil tax base is increased by 0.</w:t>
      </w:r>
      <w:r w:rsidR="008B7621">
        <w:rPr>
          <w:rFonts w:ascii="Arial" w:hAnsi="Arial" w:cs="Arial"/>
        </w:rPr>
        <w:t>8</w:t>
      </w:r>
      <w:r w:rsidR="00863E2D">
        <w:rPr>
          <w:rFonts w:ascii="Arial" w:hAnsi="Arial" w:cs="Arial"/>
        </w:rPr>
        <w:t>% per year, to reflect increases in the number of houses built in Shropshire and Telford &amp; Wrekin in future years.</w:t>
      </w:r>
    </w:p>
    <w:p w14:paraId="225CFDC3" w14:textId="77777777" w:rsidR="001A6C53" w:rsidRDefault="001A6C53" w:rsidP="001A6C53">
      <w:pPr>
        <w:pStyle w:val="PlainText"/>
        <w:rPr>
          <w:rFonts w:ascii="Arial" w:hAnsi="Arial" w:cs="Arial"/>
          <w:sz w:val="24"/>
          <w:szCs w:val="24"/>
        </w:rPr>
      </w:pPr>
    </w:p>
    <w:p w14:paraId="225CFDC4" w14:textId="77777777" w:rsidR="00863E2D" w:rsidRPr="007D3BE7" w:rsidRDefault="00863E2D" w:rsidP="007D3BE7">
      <w:pPr>
        <w:pStyle w:val="PlainText"/>
        <w:ind w:firstLine="709"/>
        <w:rPr>
          <w:rFonts w:ascii="Arial" w:hAnsi="Arial" w:cs="Arial"/>
          <w:b/>
          <w:sz w:val="24"/>
          <w:szCs w:val="24"/>
          <w:lang w:eastAsia="en-US"/>
        </w:rPr>
      </w:pPr>
      <w:r w:rsidRPr="001A6DC8">
        <w:rPr>
          <w:rFonts w:ascii="Arial" w:hAnsi="Arial" w:cs="Arial"/>
          <w:b/>
          <w:sz w:val="24"/>
          <w:szCs w:val="24"/>
          <w:lang w:eastAsia="en-US"/>
        </w:rPr>
        <w:t>Collection Fund</w:t>
      </w:r>
      <w:r w:rsidR="007D3BE7">
        <w:rPr>
          <w:rFonts w:ascii="Arial" w:hAnsi="Arial" w:cs="Arial"/>
          <w:b/>
          <w:sz w:val="24"/>
          <w:szCs w:val="24"/>
          <w:lang w:eastAsia="en-US"/>
        </w:rPr>
        <w:t>s</w:t>
      </w:r>
    </w:p>
    <w:p w14:paraId="16984497" w14:textId="77777777" w:rsidR="006346CE" w:rsidRDefault="006346CE" w:rsidP="00863E2D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225CFDC5" w14:textId="77777777" w:rsidR="00863E2D" w:rsidRDefault="00863E2D" w:rsidP="00863E2D">
      <w:pPr>
        <w:pStyle w:val="Plain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reported to </w:t>
      </w:r>
      <w:r w:rsidR="00873DA4">
        <w:rPr>
          <w:rFonts w:ascii="Arial" w:hAnsi="Arial" w:cs="Arial"/>
          <w:sz w:val="24"/>
          <w:szCs w:val="24"/>
        </w:rPr>
        <w:t>the Authority</w:t>
      </w:r>
      <w:r>
        <w:rPr>
          <w:rFonts w:ascii="Arial" w:hAnsi="Arial" w:cs="Arial"/>
          <w:sz w:val="24"/>
          <w:szCs w:val="24"/>
        </w:rPr>
        <w:t xml:space="preserve"> that, given the changes around localisation of council tax support, which took effect in 2013/14, and the resulting pressures on</w:t>
      </w:r>
      <w:r w:rsidRPr="00863E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7D3BE7">
        <w:rPr>
          <w:rFonts w:ascii="Arial" w:hAnsi="Arial" w:cs="Arial"/>
          <w:sz w:val="24"/>
          <w:szCs w:val="24"/>
        </w:rPr>
        <w:t>council tax c</w:t>
      </w:r>
      <w:r>
        <w:rPr>
          <w:rFonts w:ascii="Arial" w:hAnsi="Arial" w:cs="Arial"/>
          <w:sz w:val="24"/>
          <w:szCs w:val="24"/>
        </w:rPr>
        <w:t xml:space="preserve">ollection </w:t>
      </w:r>
      <w:r w:rsidR="007D3BE7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und, it was considered prudent to remove any anticipated surplus from our planning.  This approach has continued for this budget setting process.</w:t>
      </w:r>
    </w:p>
    <w:p w14:paraId="225CFDC6" w14:textId="77777777" w:rsidR="00863E2D" w:rsidRDefault="00863E2D" w:rsidP="00863E2D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225CFDC7" w14:textId="77777777" w:rsidR="00863E2D" w:rsidRDefault="00863E2D" w:rsidP="00863E2D">
      <w:pPr>
        <w:pStyle w:val="Plain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Collection </w:t>
      </w:r>
      <w:r w:rsidR="007D3BE7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und balances </w:t>
      </w:r>
      <w:r w:rsidR="00873DA4">
        <w:rPr>
          <w:rFonts w:ascii="Arial" w:hAnsi="Arial" w:cs="Arial"/>
          <w:sz w:val="24"/>
          <w:szCs w:val="24"/>
        </w:rPr>
        <w:t>for Borough of Telford &amp; Wrekin have been confirmed, and the Authority will receive £</w:t>
      </w:r>
      <w:r w:rsidR="008B7621">
        <w:rPr>
          <w:rFonts w:ascii="Arial" w:hAnsi="Arial" w:cs="Arial"/>
          <w:sz w:val="24"/>
          <w:szCs w:val="24"/>
        </w:rPr>
        <w:t>168,610</w:t>
      </w:r>
      <w:r w:rsidR="00873DA4">
        <w:rPr>
          <w:rFonts w:ascii="Arial" w:hAnsi="Arial" w:cs="Arial"/>
          <w:sz w:val="24"/>
          <w:szCs w:val="24"/>
        </w:rPr>
        <w:t xml:space="preserve">, a share of the Collection Fund surplus. </w:t>
      </w:r>
      <w:r w:rsidR="006F364E">
        <w:rPr>
          <w:rFonts w:ascii="Arial" w:hAnsi="Arial" w:cs="Arial"/>
          <w:sz w:val="24"/>
          <w:szCs w:val="24"/>
        </w:rPr>
        <w:t xml:space="preserve"> </w:t>
      </w:r>
      <w:r w:rsidR="00873DA4">
        <w:rPr>
          <w:rFonts w:ascii="Arial" w:hAnsi="Arial" w:cs="Arial"/>
          <w:sz w:val="24"/>
          <w:szCs w:val="24"/>
        </w:rPr>
        <w:t xml:space="preserve">Final figures for </w:t>
      </w:r>
      <w:r w:rsidR="007D3BE7">
        <w:rPr>
          <w:rFonts w:ascii="Arial" w:hAnsi="Arial" w:cs="Arial"/>
          <w:sz w:val="24"/>
          <w:szCs w:val="24"/>
        </w:rPr>
        <w:t>c</w:t>
      </w:r>
      <w:r w:rsidR="00873DA4">
        <w:rPr>
          <w:rFonts w:ascii="Arial" w:hAnsi="Arial" w:cs="Arial"/>
          <w:sz w:val="24"/>
          <w:szCs w:val="24"/>
        </w:rPr>
        <w:t xml:space="preserve">ollection </w:t>
      </w:r>
      <w:r w:rsidR="007D3BE7">
        <w:rPr>
          <w:rFonts w:ascii="Arial" w:hAnsi="Arial" w:cs="Arial"/>
          <w:sz w:val="24"/>
          <w:szCs w:val="24"/>
        </w:rPr>
        <w:t>f</w:t>
      </w:r>
      <w:r w:rsidR="00873DA4">
        <w:rPr>
          <w:rFonts w:ascii="Arial" w:hAnsi="Arial" w:cs="Arial"/>
          <w:sz w:val="24"/>
          <w:szCs w:val="24"/>
        </w:rPr>
        <w:t>und at Shropshire Council have not yet been received.</w:t>
      </w:r>
    </w:p>
    <w:p w14:paraId="225CFDC8" w14:textId="77777777" w:rsidR="007D3BE7" w:rsidRDefault="007D3BE7" w:rsidP="00863E2D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225CFDC9" w14:textId="77777777" w:rsidR="007D3BE7" w:rsidRDefault="007D3BE7" w:rsidP="00863E2D">
      <w:pPr>
        <w:pStyle w:val="Plain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rate collection fund balances for constituent authorities are not yet available.</w:t>
      </w:r>
    </w:p>
    <w:p w14:paraId="225CFDCA" w14:textId="77777777" w:rsidR="00863E2D" w:rsidRPr="00D256BF" w:rsidRDefault="00863E2D" w:rsidP="00863E2D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225CFDCB" w14:textId="77777777" w:rsidR="00591426" w:rsidRDefault="00227437" w:rsidP="00863E2D">
      <w:pPr>
        <w:pStyle w:val="sssubhead1"/>
        <w:jc w:val="both"/>
      </w:pPr>
      <w:r>
        <w:t>Final Budget Options</w:t>
      </w:r>
    </w:p>
    <w:p w14:paraId="225CFDCC" w14:textId="77777777" w:rsidR="008B7621" w:rsidRDefault="008B7621" w:rsidP="008B7621">
      <w:pPr>
        <w:rPr>
          <w:rFonts w:ascii="Arial" w:hAnsi="Arial" w:cs="Arial"/>
        </w:rPr>
      </w:pPr>
    </w:p>
    <w:p w14:paraId="5CDA7582" w14:textId="77777777" w:rsidR="006346CE" w:rsidRDefault="008B7621" w:rsidP="008B762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346CE">
        <w:rPr>
          <w:rFonts w:ascii="Arial" w:hAnsi="Arial" w:cs="Arial"/>
        </w:rPr>
        <w:t xml:space="preserve"> final budget package is shown i</w:t>
      </w:r>
      <w:r>
        <w:rPr>
          <w:rFonts w:ascii="Arial" w:hAnsi="Arial" w:cs="Arial"/>
        </w:rPr>
        <w:t>n the table below, for consideration by the Committee, and recommendation to the F</w:t>
      </w:r>
      <w:r w:rsidR="006346CE">
        <w:rPr>
          <w:rFonts w:ascii="Arial" w:hAnsi="Arial" w:cs="Arial"/>
        </w:rPr>
        <w:t>ire Authority at its meeting on</w:t>
      </w:r>
    </w:p>
    <w:p w14:paraId="225CFDCD" w14:textId="1A6FB3F5" w:rsidR="007D3BE7" w:rsidRDefault="006346CE" w:rsidP="008B762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25 February.  </w:t>
      </w:r>
      <w:r w:rsidR="008B7621">
        <w:rPr>
          <w:rFonts w:ascii="Arial" w:hAnsi="Arial" w:cs="Arial"/>
        </w:rPr>
        <w:t>The budget is subject to the confirmation of the council tax collection fund surplus or deficit for Shropshire</w:t>
      </w:r>
      <w:r w:rsidR="007D3BE7">
        <w:rPr>
          <w:rFonts w:ascii="Arial" w:hAnsi="Arial" w:cs="Arial"/>
        </w:rPr>
        <w:t xml:space="preserve">, and the </w:t>
      </w:r>
      <w:r w:rsidR="008B7621">
        <w:rPr>
          <w:rFonts w:ascii="Arial" w:hAnsi="Arial" w:cs="Arial"/>
        </w:rPr>
        <w:t xml:space="preserve">business rates collection funds </w:t>
      </w:r>
      <w:r w:rsidR="007D3BE7">
        <w:rPr>
          <w:rFonts w:ascii="Arial" w:hAnsi="Arial" w:cs="Arial"/>
        </w:rPr>
        <w:t>balances for both authorities.</w:t>
      </w:r>
    </w:p>
    <w:p w14:paraId="629C1F75" w14:textId="77777777" w:rsidR="006346CE" w:rsidRDefault="006346CE" w:rsidP="008B7621">
      <w:pPr>
        <w:ind w:left="720"/>
        <w:rPr>
          <w:rFonts w:ascii="Arial" w:hAnsi="Arial" w:cs="Arial"/>
        </w:rPr>
      </w:pPr>
    </w:p>
    <w:p w14:paraId="225CFDCE" w14:textId="77777777" w:rsidR="007D3BE7" w:rsidRDefault="007D3BE7" w:rsidP="008B7621">
      <w:pPr>
        <w:ind w:left="720"/>
        <w:rPr>
          <w:rFonts w:ascii="Arial" w:hAnsi="Arial" w:cs="Arial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134"/>
        <w:gridCol w:w="1134"/>
        <w:gridCol w:w="1134"/>
      </w:tblGrid>
      <w:tr w:rsidR="00987AE7" w14:paraId="225CFDDA" w14:textId="77777777" w:rsidTr="008F6FDA">
        <w:trPr>
          <w:trHeight w:val="454"/>
        </w:trPr>
        <w:tc>
          <w:tcPr>
            <w:tcW w:w="3402" w:type="dxa"/>
          </w:tcPr>
          <w:p w14:paraId="225CFDCF" w14:textId="77777777" w:rsidR="00987AE7" w:rsidRDefault="00987AE7" w:rsidP="00C17CF8">
            <w:pPr>
              <w:pStyle w:val="Default"/>
            </w:pPr>
          </w:p>
        </w:tc>
        <w:tc>
          <w:tcPr>
            <w:tcW w:w="1134" w:type="dxa"/>
            <w:vAlign w:val="center"/>
            <w:hideMark/>
          </w:tcPr>
          <w:p w14:paraId="225CFDD0" w14:textId="77777777" w:rsidR="00987AE7" w:rsidRDefault="00987AE7" w:rsidP="00C17CF8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2015/16</w:t>
            </w:r>
          </w:p>
          <w:p w14:paraId="225CFDD1" w14:textId="77777777" w:rsidR="00987AE7" w:rsidRDefault="00987AE7" w:rsidP="00C17CF8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£000</w:t>
            </w:r>
          </w:p>
        </w:tc>
        <w:tc>
          <w:tcPr>
            <w:tcW w:w="1134" w:type="dxa"/>
            <w:vAlign w:val="center"/>
            <w:hideMark/>
          </w:tcPr>
          <w:p w14:paraId="225CFDD2" w14:textId="77777777" w:rsidR="00987AE7" w:rsidRDefault="00987AE7" w:rsidP="00C17CF8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2016/17</w:t>
            </w:r>
          </w:p>
          <w:p w14:paraId="225CFDD3" w14:textId="77777777" w:rsidR="00987AE7" w:rsidRDefault="00987AE7" w:rsidP="00C17CF8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£000</w:t>
            </w:r>
          </w:p>
        </w:tc>
        <w:tc>
          <w:tcPr>
            <w:tcW w:w="1134" w:type="dxa"/>
            <w:vAlign w:val="center"/>
            <w:hideMark/>
          </w:tcPr>
          <w:p w14:paraId="225CFDD4" w14:textId="77777777" w:rsidR="00987AE7" w:rsidRDefault="00987AE7" w:rsidP="00C17CF8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2017/18</w:t>
            </w:r>
          </w:p>
          <w:p w14:paraId="225CFDD5" w14:textId="77777777" w:rsidR="00987AE7" w:rsidRDefault="00987AE7" w:rsidP="00C17CF8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£000</w:t>
            </w:r>
          </w:p>
        </w:tc>
        <w:tc>
          <w:tcPr>
            <w:tcW w:w="1134" w:type="dxa"/>
            <w:vAlign w:val="center"/>
            <w:hideMark/>
          </w:tcPr>
          <w:p w14:paraId="225CFDD6" w14:textId="77777777" w:rsidR="00987AE7" w:rsidRDefault="00987AE7" w:rsidP="00C17CF8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2018/19</w:t>
            </w:r>
          </w:p>
          <w:p w14:paraId="225CFDD7" w14:textId="77777777" w:rsidR="00987AE7" w:rsidRDefault="00987AE7" w:rsidP="00C17CF8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£000</w:t>
            </w:r>
          </w:p>
        </w:tc>
        <w:tc>
          <w:tcPr>
            <w:tcW w:w="1134" w:type="dxa"/>
            <w:hideMark/>
          </w:tcPr>
          <w:p w14:paraId="225CFDD8" w14:textId="77777777" w:rsidR="00987AE7" w:rsidRDefault="00987AE7" w:rsidP="00C17CF8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2019/20</w:t>
            </w:r>
          </w:p>
          <w:p w14:paraId="225CFDD9" w14:textId="77777777" w:rsidR="00987AE7" w:rsidRDefault="00987AE7" w:rsidP="00C17CF8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£000</w:t>
            </w:r>
          </w:p>
        </w:tc>
      </w:tr>
      <w:tr w:rsidR="00987AE7" w14:paraId="225CFDE1" w14:textId="77777777" w:rsidTr="008F6FDA">
        <w:trPr>
          <w:trHeight w:val="340"/>
        </w:trPr>
        <w:tc>
          <w:tcPr>
            <w:tcW w:w="3402" w:type="dxa"/>
            <w:vAlign w:val="center"/>
            <w:hideMark/>
          </w:tcPr>
          <w:p w14:paraId="225CFDDB" w14:textId="77777777" w:rsidR="00987AE7" w:rsidRDefault="00987AE7" w:rsidP="00C17CF8">
            <w:pPr>
              <w:pStyle w:val="Default"/>
            </w:pPr>
            <w:r>
              <w:t>Expenditure budget proposed by the Committee</w:t>
            </w:r>
          </w:p>
        </w:tc>
        <w:tc>
          <w:tcPr>
            <w:tcW w:w="1134" w:type="dxa"/>
            <w:vAlign w:val="center"/>
            <w:hideMark/>
          </w:tcPr>
          <w:p w14:paraId="225CFDDC" w14:textId="013B95A7" w:rsidR="00987AE7" w:rsidRDefault="00987AE7" w:rsidP="008C0046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20,</w:t>
            </w:r>
            <w:r w:rsidR="008C0046">
              <w:rPr>
                <w:b/>
              </w:rPr>
              <w:t>9</w:t>
            </w:r>
            <w:r>
              <w:rPr>
                <w:b/>
              </w:rPr>
              <w:t>54</w:t>
            </w:r>
          </w:p>
        </w:tc>
        <w:tc>
          <w:tcPr>
            <w:tcW w:w="1134" w:type="dxa"/>
            <w:vAlign w:val="center"/>
            <w:hideMark/>
          </w:tcPr>
          <w:p w14:paraId="225CFDDD" w14:textId="77777777" w:rsidR="00987AE7" w:rsidRDefault="00987AE7" w:rsidP="00987AE7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20,507</w:t>
            </w:r>
          </w:p>
        </w:tc>
        <w:tc>
          <w:tcPr>
            <w:tcW w:w="1134" w:type="dxa"/>
            <w:vAlign w:val="center"/>
            <w:hideMark/>
          </w:tcPr>
          <w:p w14:paraId="225CFDDE" w14:textId="77777777" w:rsidR="00987AE7" w:rsidRDefault="00987AE7" w:rsidP="00C17CF8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20,580</w:t>
            </w:r>
          </w:p>
        </w:tc>
        <w:tc>
          <w:tcPr>
            <w:tcW w:w="1134" w:type="dxa"/>
            <w:vAlign w:val="center"/>
            <w:hideMark/>
          </w:tcPr>
          <w:p w14:paraId="225CFDDF" w14:textId="77777777" w:rsidR="00987AE7" w:rsidRDefault="00987AE7" w:rsidP="00C17CF8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20,079</w:t>
            </w:r>
          </w:p>
        </w:tc>
        <w:tc>
          <w:tcPr>
            <w:tcW w:w="1134" w:type="dxa"/>
            <w:vAlign w:val="center"/>
            <w:hideMark/>
          </w:tcPr>
          <w:p w14:paraId="225CFDE0" w14:textId="77777777" w:rsidR="00987AE7" w:rsidRDefault="00987AE7" w:rsidP="00C17CF8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20,457</w:t>
            </w:r>
          </w:p>
        </w:tc>
      </w:tr>
      <w:tr w:rsidR="00987AE7" w14:paraId="225CFDEF" w14:textId="77777777" w:rsidTr="008F6FDA">
        <w:trPr>
          <w:trHeight w:val="340"/>
        </w:trPr>
        <w:tc>
          <w:tcPr>
            <w:tcW w:w="3402" w:type="dxa"/>
            <w:vAlign w:val="center"/>
            <w:hideMark/>
          </w:tcPr>
          <w:p w14:paraId="225CFDE9" w14:textId="77777777" w:rsidR="00987AE7" w:rsidRDefault="00987AE7" w:rsidP="00C17CF8">
            <w:pPr>
              <w:pStyle w:val="Default"/>
              <w:rPr>
                <w:b/>
              </w:rPr>
            </w:pPr>
            <w:r>
              <w:rPr>
                <w:b/>
              </w:rPr>
              <w:t>Funded by:</w:t>
            </w:r>
          </w:p>
        </w:tc>
        <w:tc>
          <w:tcPr>
            <w:tcW w:w="1134" w:type="dxa"/>
            <w:vAlign w:val="center"/>
          </w:tcPr>
          <w:p w14:paraId="225CFDEA" w14:textId="77777777" w:rsidR="00987AE7" w:rsidRDefault="00987AE7" w:rsidP="00C17CF8">
            <w:pPr>
              <w:pStyle w:val="Default"/>
              <w:jc w:val="right"/>
            </w:pPr>
          </w:p>
        </w:tc>
        <w:tc>
          <w:tcPr>
            <w:tcW w:w="1134" w:type="dxa"/>
            <w:vAlign w:val="center"/>
          </w:tcPr>
          <w:p w14:paraId="225CFDEB" w14:textId="77777777" w:rsidR="00987AE7" w:rsidRDefault="00987AE7" w:rsidP="00C17CF8">
            <w:pPr>
              <w:pStyle w:val="Default"/>
              <w:jc w:val="right"/>
            </w:pPr>
          </w:p>
        </w:tc>
        <w:tc>
          <w:tcPr>
            <w:tcW w:w="1134" w:type="dxa"/>
            <w:vAlign w:val="center"/>
          </w:tcPr>
          <w:p w14:paraId="225CFDEC" w14:textId="77777777" w:rsidR="00987AE7" w:rsidRDefault="00987AE7" w:rsidP="00C17CF8">
            <w:pPr>
              <w:pStyle w:val="Default"/>
              <w:jc w:val="right"/>
            </w:pPr>
          </w:p>
        </w:tc>
        <w:tc>
          <w:tcPr>
            <w:tcW w:w="1134" w:type="dxa"/>
            <w:vAlign w:val="center"/>
          </w:tcPr>
          <w:p w14:paraId="225CFDED" w14:textId="77777777" w:rsidR="00987AE7" w:rsidRDefault="00987AE7" w:rsidP="00C17CF8">
            <w:pPr>
              <w:pStyle w:val="Default"/>
              <w:jc w:val="right"/>
            </w:pPr>
          </w:p>
        </w:tc>
        <w:tc>
          <w:tcPr>
            <w:tcW w:w="1134" w:type="dxa"/>
            <w:vAlign w:val="center"/>
          </w:tcPr>
          <w:p w14:paraId="225CFDEE" w14:textId="77777777" w:rsidR="00987AE7" w:rsidRDefault="00987AE7" w:rsidP="00C17CF8">
            <w:pPr>
              <w:pStyle w:val="Default"/>
              <w:jc w:val="right"/>
            </w:pPr>
          </w:p>
        </w:tc>
      </w:tr>
      <w:tr w:rsidR="00987AE7" w14:paraId="225CFDF6" w14:textId="77777777" w:rsidTr="008F6FDA">
        <w:trPr>
          <w:trHeight w:val="340"/>
        </w:trPr>
        <w:tc>
          <w:tcPr>
            <w:tcW w:w="3402" w:type="dxa"/>
            <w:vAlign w:val="center"/>
            <w:hideMark/>
          </w:tcPr>
          <w:p w14:paraId="225CFDF0" w14:textId="77777777" w:rsidR="00987AE7" w:rsidRDefault="00987AE7" w:rsidP="00C17CF8">
            <w:pPr>
              <w:pStyle w:val="Default"/>
            </w:pPr>
            <w:r>
              <w:t>Revenue Support Grant (RSG)</w:t>
            </w:r>
          </w:p>
        </w:tc>
        <w:tc>
          <w:tcPr>
            <w:tcW w:w="1134" w:type="dxa"/>
            <w:vAlign w:val="center"/>
            <w:hideMark/>
          </w:tcPr>
          <w:p w14:paraId="225CFDF1" w14:textId="77777777" w:rsidR="00987AE7" w:rsidRDefault="00987AE7" w:rsidP="00C17CF8">
            <w:pPr>
              <w:pStyle w:val="Default"/>
              <w:jc w:val="right"/>
            </w:pPr>
            <w:r>
              <w:t>7,448</w:t>
            </w:r>
          </w:p>
        </w:tc>
        <w:tc>
          <w:tcPr>
            <w:tcW w:w="1134" w:type="dxa"/>
            <w:vAlign w:val="center"/>
            <w:hideMark/>
          </w:tcPr>
          <w:p w14:paraId="225CFDF2" w14:textId="77777777" w:rsidR="00987AE7" w:rsidRDefault="00987AE7" w:rsidP="00C17CF8">
            <w:pPr>
              <w:pStyle w:val="Default"/>
              <w:jc w:val="right"/>
            </w:pPr>
            <w:r>
              <w:t>6,852</w:t>
            </w:r>
          </w:p>
        </w:tc>
        <w:tc>
          <w:tcPr>
            <w:tcW w:w="1134" w:type="dxa"/>
            <w:vAlign w:val="center"/>
            <w:hideMark/>
          </w:tcPr>
          <w:p w14:paraId="225CFDF3" w14:textId="77777777" w:rsidR="00987AE7" w:rsidRDefault="00987AE7" w:rsidP="00C17CF8">
            <w:pPr>
              <w:pStyle w:val="Default"/>
              <w:jc w:val="right"/>
            </w:pPr>
            <w:r>
              <w:t>6,304</w:t>
            </w:r>
          </w:p>
        </w:tc>
        <w:tc>
          <w:tcPr>
            <w:tcW w:w="1134" w:type="dxa"/>
            <w:vAlign w:val="center"/>
            <w:hideMark/>
          </w:tcPr>
          <w:p w14:paraId="225CFDF4" w14:textId="77777777" w:rsidR="00987AE7" w:rsidRDefault="00987AE7" w:rsidP="00C17CF8">
            <w:pPr>
              <w:pStyle w:val="Default"/>
              <w:jc w:val="right"/>
            </w:pPr>
            <w:r>
              <w:t>5,800</w:t>
            </w:r>
          </w:p>
        </w:tc>
        <w:tc>
          <w:tcPr>
            <w:tcW w:w="1134" w:type="dxa"/>
            <w:vAlign w:val="center"/>
            <w:hideMark/>
          </w:tcPr>
          <w:p w14:paraId="225CFDF5" w14:textId="77777777" w:rsidR="00987AE7" w:rsidRDefault="00987AE7" w:rsidP="00C17CF8">
            <w:pPr>
              <w:pStyle w:val="Default"/>
              <w:jc w:val="right"/>
            </w:pPr>
            <w:r>
              <w:t>5,336</w:t>
            </w:r>
          </w:p>
        </w:tc>
      </w:tr>
      <w:tr w:rsidR="00987AE7" w14:paraId="225CFDFD" w14:textId="77777777" w:rsidTr="008F6FDA">
        <w:trPr>
          <w:trHeight w:val="340"/>
        </w:trPr>
        <w:tc>
          <w:tcPr>
            <w:tcW w:w="3402" w:type="dxa"/>
            <w:vAlign w:val="center"/>
            <w:hideMark/>
          </w:tcPr>
          <w:p w14:paraId="225CFDF7" w14:textId="77777777" w:rsidR="00987AE7" w:rsidRDefault="00987AE7" w:rsidP="00C17CF8">
            <w:pPr>
              <w:pStyle w:val="Default"/>
            </w:pPr>
            <w:r>
              <w:t>Council Tax</w:t>
            </w:r>
          </w:p>
        </w:tc>
        <w:tc>
          <w:tcPr>
            <w:tcW w:w="1134" w:type="dxa"/>
            <w:vAlign w:val="center"/>
            <w:hideMark/>
          </w:tcPr>
          <w:p w14:paraId="225CFDF8" w14:textId="77777777" w:rsidR="00987AE7" w:rsidRDefault="00987AE7" w:rsidP="00C17CF8">
            <w:pPr>
              <w:pStyle w:val="Default"/>
              <w:jc w:val="right"/>
            </w:pPr>
            <w:r>
              <w:t>13,611</w:t>
            </w:r>
          </w:p>
        </w:tc>
        <w:tc>
          <w:tcPr>
            <w:tcW w:w="1134" w:type="dxa"/>
            <w:vAlign w:val="center"/>
            <w:hideMark/>
          </w:tcPr>
          <w:p w14:paraId="225CFDF9" w14:textId="77777777" w:rsidR="00987AE7" w:rsidRDefault="00987AE7" w:rsidP="00C17CF8">
            <w:pPr>
              <w:pStyle w:val="Default"/>
              <w:jc w:val="right"/>
            </w:pPr>
            <w:r>
              <w:t>13,99</w:t>
            </w:r>
            <w:r w:rsidR="003044C8">
              <w:t>4</w:t>
            </w:r>
          </w:p>
        </w:tc>
        <w:tc>
          <w:tcPr>
            <w:tcW w:w="1134" w:type="dxa"/>
            <w:vAlign w:val="center"/>
            <w:hideMark/>
          </w:tcPr>
          <w:p w14:paraId="225CFDFA" w14:textId="77777777" w:rsidR="00987AE7" w:rsidRDefault="00987AE7" w:rsidP="00C17CF8">
            <w:pPr>
              <w:pStyle w:val="Default"/>
              <w:jc w:val="right"/>
            </w:pPr>
            <w:r>
              <w:t>14,386</w:t>
            </w:r>
          </w:p>
        </w:tc>
        <w:tc>
          <w:tcPr>
            <w:tcW w:w="1134" w:type="dxa"/>
            <w:vAlign w:val="center"/>
            <w:hideMark/>
          </w:tcPr>
          <w:p w14:paraId="225CFDFB" w14:textId="77777777" w:rsidR="00987AE7" w:rsidRDefault="003044C8" w:rsidP="00C17CF8">
            <w:pPr>
              <w:pStyle w:val="Default"/>
              <w:jc w:val="right"/>
            </w:pPr>
            <w:r>
              <w:t>14,789</w:t>
            </w:r>
          </w:p>
        </w:tc>
        <w:tc>
          <w:tcPr>
            <w:tcW w:w="1134" w:type="dxa"/>
            <w:vAlign w:val="center"/>
            <w:hideMark/>
          </w:tcPr>
          <w:p w14:paraId="225CFDFC" w14:textId="77777777" w:rsidR="00987AE7" w:rsidRDefault="00987AE7" w:rsidP="00C17CF8">
            <w:pPr>
              <w:pStyle w:val="Default"/>
              <w:jc w:val="right"/>
            </w:pPr>
            <w:r>
              <w:t>15,205</w:t>
            </w:r>
          </w:p>
        </w:tc>
      </w:tr>
      <w:tr w:rsidR="00987AE7" w14:paraId="225CFE04" w14:textId="77777777" w:rsidTr="008F6FDA">
        <w:trPr>
          <w:trHeight w:val="340"/>
        </w:trPr>
        <w:tc>
          <w:tcPr>
            <w:tcW w:w="3402" w:type="dxa"/>
            <w:vAlign w:val="center"/>
            <w:hideMark/>
          </w:tcPr>
          <w:p w14:paraId="225CFDFE" w14:textId="77777777" w:rsidR="00987AE7" w:rsidRDefault="00987AE7" w:rsidP="00C17CF8">
            <w:pPr>
              <w:pStyle w:val="Default"/>
            </w:pPr>
            <w:r>
              <w:t>Collection Fund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225CFDFF" w14:textId="77777777" w:rsidR="00987AE7" w:rsidRDefault="00987AE7" w:rsidP="00C17CF8">
            <w:pPr>
              <w:pStyle w:val="Default"/>
              <w:jc w:val="right"/>
            </w:pPr>
            <w:r>
              <w:t>169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225CFE00" w14:textId="77777777" w:rsidR="00987AE7" w:rsidRDefault="00987AE7" w:rsidP="00C17CF8">
            <w:pPr>
              <w:pStyle w:val="Default"/>
              <w:jc w:val="right"/>
            </w:pPr>
            <w: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225CFE01" w14:textId="77777777" w:rsidR="00987AE7" w:rsidRDefault="00987AE7" w:rsidP="00C17CF8">
            <w:pPr>
              <w:pStyle w:val="Default"/>
              <w:jc w:val="right"/>
            </w:pPr>
            <w: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225CFE02" w14:textId="77777777" w:rsidR="00987AE7" w:rsidRDefault="00987AE7" w:rsidP="00C17CF8">
            <w:pPr>
              <w:pStyle w:val="Default"/>
              <w:jc w:val="right"/>
            </w:pPr>
            <w: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225CFE03" w14:textId="77777777" w:rsidR="00987AE7" w:rsidRDefault="00987AE7" w:rsidP="00C17CF8">
            <w:pPr>
              <w:pStyle w:val="Default"/>
              <w:jc w:val="right"/>
            </w:pPr>
            <w:r>
              <w:t>0</w:t>
            </w:r>
          </w:p>
        </w:tc>
      </w:tr>
      <w:tr w:rsidR="008F381D" w14:paraId="225CFE0B" w14:textId="77777777" w:rsidTr="008F6FDA">
        <w:trPr>
          <w:trHeight w:val="340"/>
        </w:trPr>
        <w:tc>
          <w:tcPr>
            <w:tcW w:w="3402" w:type="dxa"/>
            <w:vAlign w:val="center"/>
          </w:tcPr>
          <w:p w14:paraId="225CFE05" w14:textId="77777777" w:rsidR="008F381D" w:rsidRDefault="008F381D" w:rsidP="00C17CF8">
            <w:pPr>
              <w:pStyle w:val="Default"/>
            </w:pPr>
            <w: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25CFE06" w14:textId="77777777" w:rsidR="008F381D" w:rsidRDefault="008F381D" w:rsidP="00C17CF8">
            <w:pPr>
              <w:pStyle w:val="Default"/>
              <w:jc w:val="right"/>
            </w:pPr>
            <w:r>
              <w:t>21,228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25CFE07" w14:textId="77777777" w:rsidR="008F381D" w:rsidRDefault="008F381D" w:rsidP="00C17CF8">
            <w:pPr>
              <w:pStyle w:val="Default"/>
              <w:jc w:val="right"/>
            </w:pPr>
            <w:r>
              <w:t>20,846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25CFE08" w14:textId="77777777" w:rsidR="008F381D" w:rsidRDefault="008F381D" w:rsidP="00C17CF8">
            <w:pPr>
              <w:pStyle w:val="Default"/>
              <w:jc w:val="right"/>
            </w:pPr>
            <w:r>
              <w:t>20,690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25CFE09" w14:textId="77777777" w:rsidR="008F381D" w:rsidRDefault="008F381D" w:rsidP="00C17CF8">
            <w:pPr>
              <w:pStyle w:val="Default"/>
              <w:jc w:val="right"/>
            </w:pPr>
            <w:r>
              <w:t>20,589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25CFE0A" w14:textId="77777777" w:rsidR="008F381D" w:rsidRDefault="008F381D" w:rsidP="00C17CF8">
            <w:pPr>
              <w:pStyle w:val="Default"/>
              <w:jc w:val="right"/>
            </w:pPr>
            <w:r>
              <w:t>20,541</w:t>
            </w:r>
          </w:p>
        </w:tc>
      </w:tr>
      <w:tr w:rsidR="00987AE7" w14:paraId="225CFE12" w14:textId="77777777" w:rsidTr="008F6FDA">
        <w:trPr>
          <w:trHeight w:val="340"/>
        </w:trPr>
        <w:tc>
          <w:tcPr>
            <w:tcW w:w="3402" w:type="dxa"/>
            <w:vAlign w:val="center"/>
            <w:hideMark/>
          </w:tcPr>
          <w:p w14:paraId="225CFE0C" w14:textId="77777777" w:rsidR="00987AE7" w:rsidRDefault="00987AE7" w:rsidP="00C17CF8">
            <w:pPr>
              <w:pStyle w:val="Default"/>
            </w:pPr>
            <w:r>
              <w:t>Deficit / (Surplus)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5CFE0D" w14:textId="4D05051D" w:rsidR="00987AE7" w:rsidRDefault="006346CE" w:rsidP="008C0046">
            <w:pPr>
              <w:pStyle w:val="Default"/>
              <w:jc w:val="right"/>
            </w:pPr>
            <w:r>
              <w:t xml:space="preserve">  </w:t>
            </w:r>
            <w:r w:rsidR="00987AE7">
              <w:t>(</w:t>
            </w:r>
            <w:r w:rsidR="008C0046">
              <w:t>2</w:t>
            </w:r>
            <w:r w:rsidR="00987AE7">
              <w:t>74)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5CFE0E" w14:textId="77777777" w:rsidR="00987AE7" w:rsidRDefault="00987AE7" w:rsidP="00C17CF8">
            <w:pPr>
              <w:pStyle w:val="Default"/>
              <w:jc w:val="right"/>
            </w:pPr>
            <w:r>
              <w:t>(339)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5CFE0F" w14:textId="77777777" w:rsidR="00987AE7" w:rsidRDefault="00987AE7" w:rsidP="00C17CF8">
            <w:pPr>
              <w:pStyle w:val="Default"/>
              <w:jc w:val="right"/>
            </w:pPr>
            <w:r>
              <w:t>(110)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5CFE10" w14:textId="77777777" w:rsidR="00987AE7" w:rsidRDefault="00987AE7" w:rsidP="00C17CF8">
            <w:pPr>
              <w:pStyle w:val="Default"/>
              <w:jc w:val="right"/>
            </w:pPr>
            <w:r>
              <w:t>(510)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5CFE11" w14:textId="77777777" w:rsidR="00987AE7" w:rsidRDefault="00987AE7" w:rsidP="00C17CF8">
            <w:pPr>
              <w:pStyle w:val="Default"/>
              <w:jc w:val="right"/>
            </w:pPr>
            <w:r>
              <w:t>(84)</w:t>
            </w:r>
          </w:p>
        </w:tc>
      </w:tr>
      <w:tr w:rsidR="00987AE7" w14:paraId="225CFE19" w14:textId="77777777" w:rsidTr="008F6FDA">
        <w:trPr>
          <w:trHeight w:val="340"/>
        </w:trPr>
        <w:tc>
          <w:tcPr>
            <w:tcW w:w="3402" w:type="dxa"/>
            <w:vAlign w:val="center"/>
          </w:tcPr>
          <w:p w14:paraId="225CFE13" w14:textId="77777777" w:rsidR="00987AE7" w:rsidRDefault="00987AE7" w:rsidP="00C17CF8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5CFE14" w14:textId="368079A9" w:rsidR="00987AE7" w:rsidRDefault="00987AE7" w:rsidP="008C0046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20,</w:t>
            </w:r>
            <w:r w:rsidR="008C0046">
              <w:rPr>
                <w:b/>
              </w:rPr>
              <w:t>9</w:t>
            </w:r>
            <w:r>
              <w:rPr>
                <w:b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5CFE15" w14:textId="77777777" w:rsidR="00987AE7" w:rsidRDefault="00987AE7" w:rsidP="00C17CF8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20,507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5CFE16" w14:textId="77777777" w:rsidR="00987AE7" w:rsidRDefault="00987AE7" w:rsidP="00C17CF8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20,580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5CFE17" w14:textId="77777777" w:rsidR="00987AE7" w:rsidRDefault="00987AE7" w:rsidP="00C17CF8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20,079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5CFE18" w14:textId="77777777" w:rsidR="00987AE7" w:rsidRDefault="00987AE7" w:rsidP="00C17CF8">
            <w:pPr>
              <w:pStyle w:val="Default"/>
              <w:jc w:val="right"/>
              <w:rPr>
                <w:b/>
              </w:rPr>
            </w:pPr>
            <w:r>
              <w:rPr>
                <w:b/>
              </w:rPr>
              <w:t>20,457</w:t>
            </w:r>
          </w:p>
        </w:tc>
      </w:tr>
    </w:tbl>
    <w:p w14:paraId="4484C07F" w14:textId="2A5A7FAC" w:rsidR="006346CE" w:rsidRPr="006346CE" w:rsidRDefault="006346CE" w:rsidP="006346CE">
      <w:pPr>
        <w:pStyle w:val="sssubhead1"/>
        <w:numPr>
          <w:ilvl w:val="0"/>
          <w:numId w:val="0"/>
        </w:numPr>
        <w:ind w:left="720"/>
        <w:jc w:val="both"/>
        <w:rPr>
          <w:b w:val="0"/>
          <w:sz w:val="24"/>
          <w:szCs w:val="24"/>
        </w:rPr>
      </w:pPr>
    </w:p>
    <w:p w14:paraId="225CFE1C" w14:textId="77777777" w:rsidR="00F72E0D" w:rsidRDefault="00117B5F" w:rsidP="00F72E0D">
      <w:pPr>
        <w:pStyle w:val="sssubhead1"/>
        <w:jc w:val="both"/>
      </w:pPr>
      <w:r>
        <w:t xml:space="preserve">Financial Implications </w:t>
      </w:r>
    </w:p>
    <w:p w14:paraId="225CFE1D" w14:textId="77777777" w:rsidR="00F72E0D" w:rsidRPr="006D45C8" w:rsidRDefault="00F72E0D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225CFE1E" w14:textId="77777777" w:rsidR="00F72E0D" w:rsidRPr="00A61635" w:rsidRDefault="00A61635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 w:rsidRPr="00A61635">
        <w:rPr>
          <w:rFonts w:ascii="Arial" w:hAnsi="Arial" w:cs="Arial"/>
          <w:snapToGrid w:val="0"/>
          <w:lang w:eastAsia="en-US"/>
        </w:rPr>
        <w:t>There are no financial implications other than those outlined in the report.</w:t>
      </w:r>
    </w:p>
    <w:p w14:paraId="225CFE1F" w14:textId="77777777" w:rsidR="00F72E0D" w:rsidRPr="006D45C8" w:rsidRDefault="00F72E0D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61CEDAA0" w14:textId="77777777" w:rsidR="006346CE" w:rsidRDefault="006346CE">
      <w:pPr>
        <w:rPr>
          <w:rFonts w:ascii="Arial" w:hAnsi="Arial" w:cs="Arial"/>
          <w:b/>
          <w:bCs/>
          <w:snapToGrid w:val="0"/>
          <w:sz w:val="28"/>
          <w:szCs w:val="28"/>
          <w:lang w:eastAsia="en-US"/>
        </w:rPr>
      </w:pPr>
      <w:r>
        <w:rPr>
          <w:snapToGrid w:val="0"/>
          <w:lang w:eastAsia="en-US"/>
        </w:rPr>
        <w:br w:type="page"/>
      </w:r>
    </w:p>
    <w:p w14:paraId="225CFE21" w14:textId="7186F76C" w:rsidR="00591426" w:rsidRDefault="00591426" w:rsidP="00F72E0D">
      <w:pPr>
        <w:pStyle w:val="sssubhead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lastRenderedPageBreak/>
        <w:t>Legal Comment</w:t>
      </w:r>
    </w:p>
    <w:p w14:paraId="225CFE22" w14:textId="77777777" w:rsidR="00591426" w:rsidRPr="006D45C8" w:rsidRDefault="00591426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225CFE23" w14:textId="77777777" w:rsidR="00591426" w:rsidRPr="007B08DA" w:rsidRDefault="00A61635" w:rsidP="00F72E0D">
      <w:pPr>
        <w:widowControl w:val="0"/>
        <w:ind w:left="720"/>
        <w:rPr>
          <w:rFonts w:ascii="Arial" w:hAnsi="Arial" w:cs="Arial"/>
          <w:snapToGrid w:val="0"/>
          <w:color w:val="FF0000"/>
          <w:lang w:eastAsia="en-US"/>
        </w:rPr>
      </w:pPr>
      <w:r w:rsidRPr="00A61635">
        <w:rPr>
          <w:rFonts w:ascii="Arial" w:hAnsi="Arial" w:cs="Arial"/>
          <w:snapToGrid w:val="0"/>
          <w:lang w:eastAsia="en-US"/>
        </w:rPr>
        <w:t>There are no legal implications</w:t>
      </w:r>
      <w:r w:rsidR="00875381">
        <w:rPr>
          <w:rFonts w:ascii="Arial" w:hAnsi="Arial" w:cs="Arial"/>
          <w:snapToGrid w:val="0"/>
          <w:lang w:eastAsia="en-US"/>
        </w:rPr>
        <w:t xml:space="preserve"> arising directly from this</w:t>
      </w:r>
      <w:r w:rsidRPr="00A61635">
        <w:rPr>
          <w:rFonts w:ascii="Arial" w:hAnsi="Arial" w:cs="Arial"/>
          <w:snapToGrid w:val="0"/>
          <w:lang w:eastAsia="en-US"/>
        </w:rPr>
        <w:t xml:space="preserve"> report.</w:t>
      </w:r>
      <w:r w:rsidR="007B08DA" w:rsidRPr="007B08DA">
        <w:rPr>
          <w:rFonts w:ascii="Arial" w:hAnsi="Arial" w:cs="Arial"/>
          <w:snapToGrid w:val="0"/>
          <w:color w:val="FF0000"/>
          <w:lang w:eastAsia="en-US"/>
        </w:rPr>
        <w:t xml:space="preserve">  </w:t>
      </w:r>
    </w:p>
    <w:p w14:paraId="225CFE24" w14:textId="77777777" w:rsidR="009C7FA8" w:rsidRPr="006D45C8" w:rsidRDefault="009C7FA8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225CFE25" w14:textId="77777777" w:rsidR="0082640F" w:rsidRDefault="0082640F" w:rsidP="00F72E0D">
      <w:pPr>
        <w:pStyle w:val="sssubhead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Initial Impact Assessment</w:t>
      </w:r>
    </w:p>
    <w:p w14:paraId="225CFE26" w14:textId="77777777" w:rsidR="0082640F" w:rsidRPr="0082640F" w:rsidRDefault="0082640F" w:rsidP="0082640F">
      <w:pPr>
        <w:pStyle w:val="PlainText"/>
        <w:rPr>
          <w:rFonts w:ascii="Arial" w:hAnsi="Arial" w:cs="Arial"/>
          <w:sz w:val="24"/>
          <w:szCs w:val="24"/>
          <w:lang w:eastAsia="en-US"/>
        </w:rPr>
      </w:pPr>
    </w:p>
    <w:p w14:paraId="225CFE27" w14:textId="77777777" w:rsidR="0082640F" w:rsidRPr="00842A07" w:rsidRDefault="009032B2" w:rsidP="0082640F">
      <w:pPr>
        <w:pStyle w:val="PlainText"/>
        <w:ind w:left="72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An</w:t>
      </w:r>
      <w:r w:rsidR="0082640F" w:rsidRPr="00842A07">
        <w:rPr>
          <w:rFonts w:ascii="Arial" w:hAnsi="Arial" w:cs="Arial"/>
          <w:sz w:val="24"/>
          <w:szCs w:val="24"/>
          <w:lang w:eastAsia="en-US"/>
        </w:rPr>
        <w:t xml:space="preserve"> Initial Impact Assessment form</w:t>
      </w:r>
      <w:r>
        <w:rPr>
          <w:rFonts w:ascii="Arial" w:hAnsi="Arial" w:cs="Arial"/>
          <w:sz w:val="24"/>
          <w:szCs w:val="24"/>
          <w:lang w:eastAsia="en-US"/>
        </w:rPr>
        <w:t xml:space="preserve"> has been completed.</w:t>
      </w:r>
    </w:p>
    <w:p w14:paraId="225CFE28" w14:textId="77777777" w:rsidR="0082640F" w:rsidRPr="0082640F" w:rsidRDefault="0082640F" w:rsidP="0082640F">
      <w:pPr>
        <w:pStyle w:val="PlainText"/>
        <w:rPr>
          <w:rFonts w:ascii="Arial" w:hAnsi="Arial" w:cs="Arial"/>
          <w:sz w:val="24"/>
          <w:szCs w:val="24"/>
          <w:lang w:eastAsia="en-US"/>
        </w:rPr>
      </w:pPr>
    </w:p>
    <w:p w14:paraId="4B1670C6" w14:textId="243E632C" w:rsidR="006346CE" w:rsidRPr="006346CE" w:rsidRDefault="007548B8" w:rsidP="006346CE">
      <w:pPr>
        <w:pStyle w:val="sssubhead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Equality Impact Assessment</w:t>
      </w:r>
      <w:bookmarkStart w:id="0" w:name="_GoBack"/>
      <w:bookmarkEnd w:id="0"/>
    </w:p>
    <w:p w14:paraId="36F13E9C" w14:textId="77777777" w:rsidR="006346CE" w:rsidRDefault="006346CE" w:rsidP="006346CE">
      <w:pPr>
        <w:pStyle w:val="PlainText"/>
        <w:rPr>
          <w:rFonts w:ascii="Arial" w:hAnsi="Arial" w:cs="Arial"/>
          <w:sz w:val="24"/>
          <w:szCs w:val="24"/>
          <w:lang w:eastAsia="en-US"/>
        </w:rPr>
      </w:pPr>
    </w:p>
    <w:p w14:paraId="5FFBC8FA" w14:textId="77777777" w:rsidR="006346CE" w:rsidRDefault="006346CE" w:rsidP="006346CE">
      <w:pPr>
        <w:pStyle w:val="PlainText"/>
        <w:ind w:left="720"/>
        <w:rPr>
          <w:rFonts w:ascii="Arial" w:hAnsi="Arial" w:cs="Arial"/>
          <w:sz w:val="24"/>
          <w:szCs w:val="24"/>
          <w:lang w:val="en-US"/>
        </w:rPr>
      </w:pPr>
      <w:r w:rsidRPr="000036E0">
        <w:rPr>
          <w:rFonts w:ascii="Arial" w:hAnsi="Arial" w:cs="Arial"/>
          <w:sz w:val="24"/>
          <w:szCs w:val="24"/>
          <w:lang w:val="en-US"/>
        </w:rPr>
        <w:t>Officers have considered the Service’s Brigade Order on Equality Impact Assessments (Human Resources 5 Part 2) and have decided that there are no discriminatory practices or differential impacts upon specific groups arising from this report.  An Initial Equality Impact Assessment is not, therefore, required.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45671F9" w14:textId="77777777" w:rsidR="006346CE" w:rsidRPr="007548B8" w:rsidRDefault="006346CE" w:rsidP="006346CE">
      <w:pPr>
        <w:pStyle w:val="sssubhead1"/>
        <w:numPr>
          <w:ilvl w:val="0"/>
          <w:numId w:val="0"/>
        </w:numPr>
        <w:jc w:val="both"/>
        <w:rPr>
          <w:b w:val="0"/>
          <w:snapToGrid w:val="0"/>
          <w:sz w:val="24"/>
          <w:szCs w:val="24"/>
          <w:lang w:eastAsia="en-US"/>
        </w:rPr>
      </w:pPr>
    </w:p>
    <w:p w14:paraId="225CFE29" w14:textId="77777777" w:rsidR="005B53B1" w:rsidRPr="00EB4C4A" w:rsidRDefault="00F72E0D" w:rsidP="00F72E0D">
      <w:pPr>
        <w:pStyle w:val="sssubhead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Appendices</w:t>
      </w:r>
    </w:p>
    <w:p w14:paraId="225CFE2A" w14:textId="77777777" w:rsidR="005B53B1" w:rsidRDefault="005B53B1" w:rsidP="007B08DA">
      <w:pPr>
        <w:widowControl w:val="0"/>
        <w:ind w:left="720"/>
        <w:rPr>
          <w:rFonts w:ascii="Arial" w:hAnsi="Arial" w:cs="Arial"/>
          <w:snapToGrid w:val="0"/>
          <w:lang w:eastAsia="en-US"/>
        </w:rPr>
      </w:pPr>
    </w:p>
    <w:p w14:paraId="225CFE2B" w14:textId="77777777" w:rsidR="007B08DA" w:rsidRDefault="007B08DA" w:rsidP="007B08DA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>There are no appendices attached to this report</w:t>
      </w:r>
      <w:r w:rsidR="001A493F">
        <w:rPr>
          <w:rFonts w:ascii="Arial" w:hAnsi="Arial" w:cs="Arial"/>
          <w:snapToGrid w:val="0"/>
          <w:lang w:eastAsia="en-US"/>
        </w:rPr>
        <w:t>.</w:t>
      </w:r>
    </w:p>
    <w:p w14:paraId="225CFE2C" w14:textId="77777777" w:rsidR="005B53B1" w:rsidRPr="006D45C8" w:rsidRDefault="005B53B1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225CFE2D" w14:textId="77777777" w:rsidR="00591426" w:rsidRPr="00EB4C4A" w:rsidRDefault="00591426" w:rsidP="00F72E0D">
      <w:pPr>
        <w:pStyle w:val="sssubhead1"/>
        <w:rPr>
          <w:snapToGrid w:val="0"/>
          <w:lang w:eastAsia="en-US"/>
        </w:rPr>
      </w:pPr>
      <w:r>
        <w:rPr>
          <w:snapToGrid w:val="0"/>
          <w:lang w:eastAsia="en-US"/>
        </w:rPr>
        <w:t>Background Papers</w:t>
      </w:r>
    </w:p>
    <w:p w14:paraId="225CFE2E" w14:textId="77777777" w:rsidR="00591426" w:rsidRPr="006D45C8" w:rsidRDefault="00591426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225CFE2F" w14:textId="77777777" w:rsidR="001A493F" w:rsidRDefault="001A493F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 w:rsidRPr="001A493F">
        <w:rPr>
          <w:rFonts w:ascii="Arial" w:hAnsi="Arial" w:cs="Arial"/>
          <w:snapToGrid w:val="0"/>
          <w:lang w:eastAsia="en-US"/>
        </w:rPr>
        <w:t>There are no background papers associated with this report.</w:t>
      </w:r>
    </w:p>
    <w:p w14:paraId="225CFE30" w14:textId="77777777" w:rsidR="000D4EEB" w:rsidRPr="00D85225" w:rsidRDefault="000D4EEB" w:rsidP="009059FE">
      <w:pPr>
        <w:jc w:val="center"/>
        <w:rPr>
          <w:rFonts w:ascii="Arial" w:hAnsi="Arial" w:cs="Arial"/>
        </w:rPr>
      </w:pPr>
    </w:p>
    <w:sectPr w:rsidR="000D4EEB" w:rsidRPr="00D85225" w:rsidSect="006346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851" w:right="1440" w:bottom="851" w:left="144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CFE33" w14:textId="77777777" w:rsidR="008A469D" w:rsidRDefault="008A469D">
      <w:r>
        <w:separator/>
      </w:r>
    </w:p>
  </w:endnote>
  <w:endnote w:type="continuationSeparator" w:id="0">
    <w:p w14:paraId="225CFE34" w14:textId="77777777" w:rsidR="008A469D" w:rsidRDefault="008A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E467F" w14:textId="77777777" w:rsidR="00CE52CB" w:rsidRDefault="00CE52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08" w:type="dxa"/>
      <w:tblLook w:val="01E0" w:firstRow="1" w:lastRow="1" w:firstColumn="1" w:lastColumn="1" w:noHBand="0" w:noVBand="0"/>
    </w:tblPr>
    <w:tblGrid>
      <w:gridCol w:w="3190"/>
      <w:gridCol w:w="3190"/>
      <w:gridCol w:w="2728"/>
    </w:tblGrid>
    <w:tr w:rsidR="005F3E61" w:rsidRPr="00271BCC" w14:paraId="225CFE39" w14:textId="77777777" w:rsidTr="00E91D3C">
      <w:tc>
        <w:tcPr>
          <w:tcW w:w="3190" w:type="dxa"/>
          <w:vAlign w:val="bottom"/>
        </w:tcPr>
        <w:p w14:paraId="225CFE36" w14:textId="77777777" w:rsidR="005F3E61" w:rsidRDefault="005F3E61" w:rsidP="005F3E61">
          <w:pPr>
            <w:pStyle w:val="Foo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225CFE41" wp14:editId="225CFE42">
                <wp:extent cx="1419225" cy="428625"/>
                <wp:effectExtent l="0" t="0" r="9525" b="9525"/>
                <wp:docPr id="4" name="Picture 4" descr="pssf-12mm-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ssf-12mm-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  <w:vAlign w:val="bottom"/>
        </w:tcPr>
        <w:p w14:paraId="225CFE37" w14:textId="77777777" w:rsidR="005F3E61" w:rsidRPr="00271BCC" w:rsidRDefault="005F3E61" w:rsidP="005F3E61">
          <w:pPr>
            <w:pStyle w:val="Footer"/>
            <w:jc w:val="center"/>
            <w:rPr>
              <w:rFonts w:ascii="Arial" w:hAnsi="Arial" w:cs="Arial"/>
              <w:sz w:val="20"/>
              <w:lang w:eastAsia="en-US"/>
            </w:rPr>
          </w:pPr>
          <w:r w:rsidRPr="00271BCC">
            <w:rPr>
              <w:rStyle w:val="PageNumber"/>
              <w:rFonts w:ascii="Arial" w:hAnsi="Arial" w:cs="Arial"/>
              <w:sz w:val="20"/>
              <w:lang w:eastAsia="en-US"/>
            </w:rPr>
            <w:fldChar w:fldCharType="begin"/>
          </w:r>
          <w:r w:rsidRPr="00271BCC">
            <w:rPr>
              <w:rStyle w:val="PageNumber"/>
              <w:rFonts w:ascii="Arial" w:hAnsi="Arial" w:cs="Arial"/>
              <w:sz w:val="20"/>
              <w:lang w:eastAsia="en-US"/>
            </w:rPr>
            <w:instrText xml:space="preserve"> PAGE </w:instrText>
          </w:r>
          <w:r w:rsidRPr="00271BCC">
            <w:rPr>
              <w:rStyle w:val="PageNumber"/>
              <w:rFonts w:ascii="Arial" w:hAnsi="Arial" w:cs="Arial"/>
              <w:sz w:val="20"/>
              <w:lang w:eastAsia="en-US"/>
            </w:rPr>
            <w:fldChar w:fldCharType="separate"/>
          </w:r>
          <w:r w:rsidR="007548B8">
            <w:rPr>
              <w:rStyle w:val="PageNumber"/>
              <w:rFonts w:ascii="Arial" w:hAnsi="Arial" w:cs="Arial"/>
              <w:noProof/>
              <w:sz w:val="20"/>
              <w:lang w:eastAsia="en-US"/>
            </w:rPr>
            <w:t>3</w:t>
          </w:r>
          <w:r w:rsidRPr="00271BCC">
            <w:rPr>
              <w:rStyle w:val="PageNumber"/>
              <w:rFonts w:ascii="Arial" w:hAnsi="Arial" w:cs="Arial"/>
              <w:sz w:val="20"/>
              <w:lang w:eastAsia="en-US"/>
            </w:rPr>
            <w:fldChar w:fldCharType="end"/>
          </w:r>
        </w:p>
      </w:tc>
      <w:tc>
        <w:tcPr>
          <w:tcW w:w="2728" w:type="dxa"/>
          <w:vAlign w:val="bottom"/>
        </w:tcPr>
        <w:p w14:paraId="225CFE38" w14:textId="53AD74DD" w:rsidR="005F3E61" w:rsidRPr="00271BCC" w:rsidRDefault="008F6FDA" w:rsidP="008F6FDA">
          <w:pPr>
            <w:pStyle w:val="Footer"/>
            <w:jc w:val="right"/>
            <w:rPr>
              <w:rFonts w:ascii="Arial" w:hAnsi="Arial" w:cs="Arial"/>
              <w:sz w:val="20"/>
              <w:lang w:eastAsia="en-US"/>
            </w:rPr>
          </w:pPr>
          <w:r>
            <w:rPr>
              <w:rFonts w:ascii="Arial" w:hAnsi="Arial" w:cs="Arial"/>
              <w:sz w:val="20"/>
              <w:lang w:eastAsia="en-US"/>
            </w:rPr>
            <w:t>S</w:t>
          </w:r>
          <w:r w:rsidRPr="00271BCC">
            <w:rPr>
              <w:rFonts w:ascii="Arial" w:hAnsi="Arial" w:cs="Arial"/>
              <w:sz w:val="20"/>
              <w:lang w:eastAsia="en-US"/>
            </w:rPr>
            <w:t>&amp;R</w:t>
          </w:r>
          <w:r>
            <w:rPr>
              <w:rFonts w:ascii="Arial" w:hAnsi="Arial" w:cs="Arial"/>
              <w:sz w:val="20"/>
              <w:lang w:eastAsia="en-US"/>
            </w:rPr>
            <w:t xml:space="preserve"> 05.02.15</w:t>
          </w:r>
        </w:p>
      </w:tc>
    </w:tr>
  </w:tbl>
  <w:p w14:paraId="225CFE3A" w14:textId="77777777" w:rsidR="009059FE" w:rsidRDefault="009059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08" w:type="dxa"/>
      <w:tblLook w:val="01E0" w:firstRow="1" w:lastRow="1" w:firstColumn="1" w:lastColumn="1" w:noHBand="0" w:noVBand="0"/>
    </w:tblPr>
    <w:tblGrid>
      <w:gridCol w:w="3190"/>
      <w:gridCol w:w="3190"/>
      <w:gridCol w:w="2728"/>
    </w:tblGrid>
    <w:tr w:rsidR="005F3E61" w:rsidRPr="00271BCC" w14:paraId="225CFE3F" w14:textId="77777777" w:rsidTr="00E91D3C">
      <w:tc>
        <w:tcPr>
          <w:tcW w:w="3190" w:type="dxa"/>
          <w:vAlign w:val="bottom"/>
        </w:tcPr>
        <w:p w14:paraId="225CFE3C" w14:textId="77777777" w:rsidR="005F3E61" w:rsidRDefault="005F3E61" w:rsidP="005F3E61">
          <w:pPr>
            <w:pStyle w:val="Foo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225CFE43" wp14:editId="225CFE44">
                <wp:extent cx="1419225" cy="428625"/>
                <wp:effectExtent l="0" t="0" r="9525" b="9525"/>
                <wp:docPr id="3" name="Picture 3" descr="pssf-12mm-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ssf-12mm-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  <w:vAlign w:val="bottom"/>
        </w:tcPr>
        <w:p w14:paraId="225CFE3D" w14:textId="77777777" w:rsidR="005F3E61" w:rsidRPr="00271BCC" w:rsidRDefault="005F3E61" w:rsidP="005F3E61">
          <w:pPr>
            <w:pStyle w:val="Footer"/>
            <w:jc w:val="center"/>
            <w:rPr>
              <w:rFonts w:ascii="Arial" w:hAnsi="Arial" w:cs="Arial"/>
              <w:sz w:val="20"/>
              <w:lang w:eastAsia="en-US"/>
            </w:rPr>
          </w:pPr>
          <w:r w:rsidRPr="00271BCC">
            <w:rPr>
              <w:rStyle w:val="PageNumber"/>
              <w:rFonts w:ascii="Arial" w:hAnsi="Arial" w:cs="Arial"/>
              <w:sz w:val="20"/>
              <w:lang w:eastAsia="en-US"/>
            </w:rPr>
            <w:fldChar w:fldCharType="begin"/>
          </w:r>
          <w:r w:rsidRPr="00271BCC">
            <w:rPr>
              <w:rStyle w:val="PageNumber"/>
              <w:rFonts w:ascii="Arial" w:hAnsi="Arial" w:cs="Arial"/>
              <w:sz w:val="20"/>
              <w:lang w:eastAsia="en-US"/>
            </w:rPr>
            <w:instrText xml:space="preserve"> PAGE </w:instrText>
          </w:r>
          <w:r w:rsidRPr="00271BCC">
            <w:rPr>
              <w:rStyle w:val="PageNumber"/>
              <w:rFonts w:ascii="Arial" w:hAnsi="Arial" w:cs="Arial"/>
              <w:sz w:val="20"/>
              <w:lang w:eastAsia="en-US"/>
            </w:rPr>
            <w:fldChar w:fldCharType="separate"/>
          </w:r>
          <w:r w:rsidR="007548B8">
            <w:rPr>
              <w:rStyle w:val="PageNumber"/>
              <w:rFonts w:ascii="Arial" w:hAnsi="Arial" w:cs="Arial"/>
              <w:noProof/>
              <w:sz w:val="20"/>
              <w:lang w:eastAsia="en-US"/>
            </w:rPr>
            <w:t>1</w:t>
          </w:r>
          <w:r w:rsidRPr="00271BCC">
            <w:rPr>
              <w:rStyle w:val="PageNumber"/>
              <w:rFonts w:ascii="Arial" w:hAnsi="Arial" w:cs="Arial"/>
              <w:sz w:val="20"/>
              <w:lang w:eastAsia="en-US"/>
            </w:rPr>
            <w:fldChar w:fldCharType="end"/>
          </w:r>
        </w:p>
      </w:tc>
      <w:tc>
        <w:tcPr>
          <w:tcW w:w="2728" w:type="dxa"/>
          <w:vAlign w:val="bottom"/>
        </w:tcPr>
        <w:p w14:paraId="225CFE3E" w14:textId="0C79E967" w:rsidR="005F3E61" w:rsidRPr="00271BCC" w:rsidRDefault="005F3E61" w:rsidP="008F6FDA">
          <w:pPr>
            <w:pStyle w:val="Footer"/>
            <w:jc w:val="right"/>
            <w:rPr>
              <w:rFonts w:ascii="Arial" w:hAnsi="Arial" w:cs="Arial"/>
              <w:sz w:val="20"/>
              <w:lang w:eastAsia="en-US"/>
            </w:rPr>
          </w:pPr>
          <w:r w:rsidRPr="00271BCC">
            <w:rPr>
              <w:rFonts w:ascii="Arial" w:hAnsi="Arial" w:cs="Arial"/>
              <w:sz w:val="20"/>
              <w:lang w:eastAsia="en-US"/>
            </w:rPr>
            <w:t>S&amp;R</w:t>
          </w:r>
          <w:r>
            <w:rPr>
              <w:rFonts w:ascii="Arial" w:hAnsi="Arial" w:cs="Arial"/>
              <w:sz w:val="20"/>
              <w:lang w:eastAsia="en-US"/>
            </w:rPr>
            <w:t xml:space="preserve"> </w:t>
          </w:r>
          <w:r w:rsidR="008F6FDA">
            <w:rPr>
              <w:rFonts w:ascii="Arial" w:hAnsi="Arial" w:cs="Arial"/>
              <w:sz w:val="20"/>
              <w:lang w:eastAsia="en-US"/>
            </w:rPr>
            <w:t>05.02.15</w:t>
          </w:r>
        </w:p>
      </w:tc>
    </w:tr>
  </w:tbl>
  <w:p w14:paraId="225CFE40" w14:textId="77777777" w:rsidR="009059FE" w:rsidRDefault="009059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CFE31" w14:textId="77777777" w:rsidR="008A469D" w:rsidRDefault="008A469D">
      <w:r>
        <w:separator/>
      </w:r>
    </w:p>
  </w:footnote>
  <w:footnote w:type="continuationSeparator" w:id="0">
    <w:p w14:paraId="225CFE32" w14:textId="77777777" w:rsidR="008A469D" w:rsidRDefault="008A4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225BF" w14:textId="77777777" w:rsidR="00CE52CB" w:rsidRDefault="00CE52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CFE35" w14:textId="77777777" w:rsidR="00F85179" w:rsidRDefault="007548B8" w:rsidP="00F85179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0477F" w14:textId="7B672E1E" w:rsidR="008F6FDA" w:rsidRPr="008F6FDA" w:rsidRDefault="00CE52CB" w:rsidP="005F3E61">
    <w:pPr>
      <w:pStyle w:val="Header"/>
      <w:jc w:val="right"/>
      <w:rPr>
        <w:rFonts w:ascii="Arial" w:hAnsi="Arial" w:cs="Arial"/>
        <w:b/>
        <w:sz w:val="144"/>
        <w:szCs w:val="144"/>
      </w:rPr>
    </w:pPr>
    <w:r>
      <w:rPr>
        <w:rFonts w:ascii="Arial" w:hAnsi="Arial" w:cs="Arial"/>
        <w:b/>
        <w:sz w:val="144"/>
        <w:szCs w:val="14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558DB"/>
    <w:multiLevelType w:val="hybridMultilevel"/>
    <w:tmpl w:val="2090B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848D5"/>
    <w:multiLevelType w:val="hybridMultilevel"/>
    <w:tmpl w:val="CFFEF954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130405"/>
    <w:multiLevelType w:val="singleLevel"/>
    <w:tmpl w:val="D7BE2466"/>
    <w:lvl w:ilvl="0">
      <w:start w:val="1"/>
      <w:numFmt w:val="decimal"/>
      <w:pStyle w:val="sssubhead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214498F"/>
    <w:multiLevelType w:val="hybridMultilevel"/>
    <w:tmpl w:val="84203952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617DBF"/>
    <w:multiLevelType w:val="hybridMultilevel"/>
    <w:tmpl w:val="D11479C6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F27E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727E94"/>
    <w:multiLevelType w:val="hybridMultilevel"/>
    <w:tmpl w:val="8DC8972C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DD2E28"/>
    <w:multiLevelType w:val="hybridMultilevel"/>
    <w:tmpl w:val="EE7CC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237187"/>
    <w:multiLevelType w:val="hybridMultilevel"/>
    <w:tmpl w:val="308850F2"/>
    <w:lvl w:ilvl="0" w:tplc="C00062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B0373C"/>
    <w:multiLevelType w:val="hybridMultilevel"/>
    <w:tmpl w:val="95429D32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B61492"/>
    <w:multiLevelType w:val="hybridMultilevel"/>
    <w:tmpl w:val="C95EA79A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F32D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9F200A7"/>
    <w:multiLevelType w:val="hybridMultilevel"/>
    <w:tmpl w:val="2F902B4C"/>
    <w:lvl w:ilvl="0" w:tplc="4DD65908">
      <w:start w:val="1"/>
      <w:numFmt w:val="decimal"/>
      <w:lvlText w:val="%1"/>
      <w:lvlJc w:val="left"/>
      <w:pPr>
        <w:ind w:left="1440" w:hanging="36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A29414B"/>
    <w:multiLevelType w:val="hybridMultilevel"/>
    <w:tmpl w:val="485E9BD4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65798E"/>
    <w:multiLevelType w:val="hybridMultilevel"/>
    <w:tmpl w:val="FAB480D8"/>
    <w:lvl w:ilvl="0" w:tplc="A70270E8">
      <w:start w:val="1"/>
      <w:numFmt w:val="bullet"/>
      <w:lvlText w:val=""/>
      <w:lvlJc w:val="left"/>
      <w:pPr>
        <w:tabs>
          <w:tab w:val="num" w:pos="2478"/>
        </w:tabs>
        <w:ind w:left="890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39B2F28"/>
    <w:multiLevelType w:val="hybridMultilevel"/>
    <w:tmpl w:val="CE3ED77A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7866BF"/>
    <w:multiLevelType w:val="hybridMultilevel"/>
    <w:tmpl w:val="0928BDB0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F25E5E"/>
    <w:multiLevelType w:val="hybridMultilevel"/>
    <w:tmpl w:val="286C2CBA"/>
    <w:lvl w:ilvl="0" w:tplc="FFFFFFF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FC5EB2"/>
    <w:multiLevelType w:val="hybridMultilevel"/>
    <w:tmpl w:val="1B285312"/>
    <w:lvl w:ilvl="0" w:tplc="FFFFFFF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366220"/>
    <w:multiLevelType w:val="hybridMultilevel"/>
    <w:tmpl w:val="42AE6900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2F1B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19"/>
  </w:num>
  <w:num w:numId="5">
    <w:abstractNumId w:val="15"/>
  </w:num>
  <w:num w:numId="6">
    <w:abstractNumId w:val="10"/>
  </w:num>
  <w:num w:numId="7">
    <w:abstractNumId w:val="6"/>
  </w:num>
  <w:num w:numId="8">
    <w:abstractNumId w:val="18"/>
  </w:num>
  <w:num w:numId="9">
    <w:abstractNumId w:val="16"/>
  </w:num>
  <w:num w:numId="10">
    <w:abstractNumId w:val="20"/>
  </w:num>
  <w:num w:numId="11">
    <w:abstractNumId w:val="11"/>
  </w:num>
  <w:num w:numId="12">
    <w:abstractNumId w:val="5"/>
  </w:num>
  <w:num w:numId="13">
    <w:abstractNumId w:val="4"/>
  </w:num>
  <w:num w:numId="14">
    <w:abstractNumId w:val="1"/>
  </w:num>
  <w:num w:numId="15">
    <w:abstractNumId w:val="17"/>
  </w:num>
  <w:num w:numId="16">
    <w:abstractNumId w:val="3"/>
  </w:num>
  <w:num w:numId="17">
    <w:abstractNumId w:val="0"/>
  </w:num>
  <w:num w:numId="18">
    <w:abstractNumId w:val="8"/>
  </w:num>
  <w:num w:numId="19">
    <w:abstractNumId w:val="7"/>
  </w:num>
  <w:num w:numId="20">
    <w:abstractNumId w:val="14"/>
  </w:num>
  <w:num w:numId="21">
    <w:abstractNumId w:val="2"/>
    <w:lvlOverride w:ilvl="0">
      <w:startOverride w:val="1"/>
    </w:lvlOverride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9D"/>
    <w:rsid w:val="00006E0E"/>
    <w:rsid w:val="00027B51"/>
    <w:rsid w:val="00051CD1"/>
    <w:rsid w:val="00055E65"/>
    <w:rsid w:val="00056BC8"/>
    <w:rsid w:val="00067D30"/>
    <w:rsid w:val="00071AF4"/>
    <w:rsid w:val="00071C80"/>
    <w:rsid w:val="0007411D"/>
    <w:rsid w:val="000975D5"/>
    <w:rsid w:val="000B4D7E"/>
    <w:rsid w:val="000B57C9"/>
    <w:rsid w:val="000B5822"/>
    <w:rsid w:val="000C77B2"/>
    <w:rsid w:val="000D1AF2"/>
    <w:rsid w:val="000D4EEB"/>
    <w:rsid w:val="00104D4A"/>
    <w:rsid w:val="00111D47"/>
    <w:rsid w:val="00117B5F"/>
    <w:rsid w:val="00123DAC"/>
    <w:rsid w:val="00153375"/>
    <w:rsid w:val="00155B17"/>
    <w:rsid w:val="001673BE"/>
    <w:rsid w:val="00174455"/>
    <w:rsid w:val="00181FED"/>
    <w:rsid w:val="00195B8D"/>
    <w:rsid w:val="001A493F"/>
    <w:rsid w:val="001A6C53"/>
    <w:rsid w:val="001B1B5B"/>
    <w:rsid w:val="001D30A0"/>
    <w:rsid w:val="001E0E93"/>
    <w:rsid w:val="001E1932"/>
    <w:rsid w:val="002012D4"/>
    <w:rsid w:val="00202FD0"/>
    <w:rsid w:val="00206612"/>
    <w:rsid w:val="00214EAE"/>
    <w:rsid w:val="00216D15"/>
    <w:rsid w:val="00217242"/>
    <w:rsid w:val="002231CA"/>
    <w:rsid w:val="00227437"/>
    <w:rsid w:val="00231193"/>
    <w:rsid w:val="00233AA4"/>
    <w:rsid w:val="00237155"/>
    <w:rsid w:val="00244625"/>
    <w:rsid w:val="0026234D"/>
    <w:rsid w:val="00265F4A"/>
    <w:rsid w:val="00286199"/>
    <w:rsid w:val="002A3B29"/>
    <w:rsid w:val="002B04D8"/>
    <w:rsid w:val="002C6C72"/>
    <w:rsid w:val="002C7BA4"/>
    <w:rsid w:val="002E2729"/>
    <w:rsid w:val="002E3507"/>
    <w:rsid w:val="002E705B"/>
    <w:rsid w:val="002E7828"/>
    <w:rsid w:val="002F07EF"/>
    <w:rsid w:val="002F3B57"/>
    <w:rsid w:val="003044C8"/>
    <w:rsid w:val="0031183B"/>
    <w:rsid w:val="00325036"/>
    <w:rsid w:val="00325B82"/>
    <w:rsid w:val="00333710"/>
    <w:rsid w:val="00334B43"/>
    <w:rsid w:val="00336FE6"/>
    <w:rsid w:val="00340BDC"/>
    <w:rsid w:val="00343056"/>
    <w:rsid w:val="003459D8"/>
    <w:rsid w:val="0034645A"/>
    <w:rsid w:val="003468A7"/>
    <w:rsid w:val="003737D5"/>
    <w:rsid w:val="00375959"/>
    <w:rsid w:val="0038124F"/>
    <w:rsid w:val="0038592B"/>
    <w:rsid w:val="00395F2B"/>
    <w:rsid w:val="003A5CAA"/>
    <w:rsid w:val="003B0CF3"/>
    <w:rsid w:val="003B6F0B"/>
    <w:rsid w:val="003C30A3"/>
    <w:rsid w:val="003D0A3C"/>
    <w:rsid w:val="003D34ED"/>
    <w:rsid w:val="003E3797"/>
    <w:rsid w:val="003E3AF5"/>
    <w:rsid w:val="003E5A12"/>
    <w:rsid w:val="003E66BB"/>
    <w:rsid w:val="003F2B9C"/>
    <w:rsid w:val="00414D7E"/>
    <w:rsid w:val="00416CA8"/>
    <w:rsid w:val="0042227F"/>
    <w:rsid w:val="004254C3"/>
    <w:rsid w:val="00440EF8"/>
    <w:rsid w:val="00441922"/>
    <w:rsid w:val="00441A0D"/>
    <w:rsid w:val="00450C57"/>
    <w:rsid w:val="00451480"/>
    <w:rsid w:val="00457DA6"/>
    <w:rsid w:val="00463E63"/>
    <w:rsid w:val="00466A6A"/>
    <w:rsid w:val="004711A7"/>
    <w:rsid w:val="00471C85"/>
    <w:rsid w:val="00473B69"/>
    <w:rsid w:val="00480908"/>
    <w:rsid w:val="00491DAE"/>
    <w:rsid w:val="004929A5"/>
    <w:rsid w:val="00493BC8"/>
    <w:rsid w:val="004A0CF1"/>
    <w:rsid w:val="004A510B"/>
    <w:rsid w:val="004A5632"/>
    <w:rsid w:val="004A5F7E"/>
    <w:rsid w:val="004B1BFD"/>
    <w:rsid w:val="004B38B0"/>
    <w:rsid w:val="004B4D9B"/>
    <w:rsid w:val="004B65BC"/>
    <w:rsid w:val="004C5CC4"/>
    <w:rsid w:val="004D005F"/>
    <w:rsid w:val="004D0A4C"/>
    <w:rsid w:val="004E0C2B"/>
    <w:rsid w:val="004F5D43"/>
    <w:rsid w:val="00501ECF"/>
    <w:rsid w:val="005023AC"/>
    <w:rsid w:val="005027D2"/>
    <w:rsid w:val="00512A2A"/>
    <w:rsid w:val="00525A6E"/>
    <w:rsid w:val="005367DA"/>
    <w:rsid w:val="00547657"/>
    <w:rsid w:val="00552E1C"/>
    <w:rsid w:val="005531BF"/>
    <w:rsid w:val="00553A7B"/>
    <w:rsid w:val="00561DBC"/>
    <w:rsid w:val="005713C9"/>
    <w:rsid w:val="00576EB3"/>
    <w:rsid w:val="005777A0"/>
    <w:rsid w:val="00580EBD"/>
    <w:rsid w:val="00583711"/>
    <w:rsid w:val="00584227"/>
    <w:rsid w:val="00584804"/>
    <w:rsid w:val="00584B86"/>
    <w:rsid w:val="00591426"/>
    <w:rsid w:val="005928FD"/>
    <w:rsid w:val="00597BD1"/>
    <w:rsid w:val="005A75D8"/>
    <w:rsid w:val="005B0F94"/>
    <w:rsid w:val="005B53B1"/>
    <w:rsid w:val="005B70EF"/>
    <w:rsid w:val="005B76E5"/>
    <w:rsid w:val="005C07FE"/>
    <w:rsid w:val="005E7E09"/>
    <w:rsid w:val="005F3E61"/>
    <w:rsid w:val="00606F52"/>
    <w:rsid w:val="0062384A"/>
    <w:rsid w:val="00624C7C"/>
    <w:rsid w:val="006346CE"/>
    <w:rsid w:val="00651999"/>
    <w:rsid w:val="00656BA2"/>
    <w:rsid w:val="00656C38"/>
    <w:rsid w:val="00660121"/>
    <w:rsid w:val="00662B17"/>
    <w:rsid w:val="0068347E"/>
    <w:rsid w:val="006841B7"/>
    <w:rsid w:val="006929B7"/>
    <w:rsid w:val="006944BA"/>
    <w:rsid w:val="006A0A23"/>
    <w:rsid w:val="006B589E"/>
    <w:rsid w:val="006C09C1"/>
    <w:rsid w:val="006D27D3"/>
    <w:rsid w:val="006D45C8"/>
    <w:rsid w:val="006D4F01"/>
    <w:rsid w:val="006D63FD"/>
    <w:rsid w:val="006E4E73"/>
    <w:rsid w:val="006E73CA"/>
    <w:rsid w:val="006F364E"/>
    <w:rsid w:val="00701D99"/>
    <w:rsid w:val="0073120A"/>
    <w:rsid w:val="00742C28"/>
    <w:rsid w:val="00743690"/>
    <w:rsid w:val="0074468C"/>
    <w:rsid w:val="007541C6"/>
    <w:rsid w:val="00754384"/>
    <w:rsid w:val="007548B8"/>
    <w:rsid w:val="00761210"/>
    <w:rsid w:val="00761832"/>
    <w:rsid w:val="00765C9F"/>
    <w:rsid w:val="00777504"/>
    <w:rsid w:val="007821C2"/>
    <w:rsid w:val="007906EF"/>
    <w:rsid w:val="00793B93"/>
    <w:rsid w:val="007B08DA"/>
    <w:rsid w:val="007B10F9"/>
    <w:rsid w:val="007B600E"/>
    <w:rsid w:val="007D3BE7"/>
    <w:rsid w:val="007D7800"/>
    <w:rsid w:val="007F6706"/>
    <w:rsid w:val="007F7748"/>
    <w:rsid w:val="00804322"/>
    <w:rsid w:val="00823681"/>
    <w:rsid w:val="0082640F"/>
    <w:rsid w:val="00830F70"/>
    <w:rsid w:val="008360E8"/>
    <w:rsid w:val="00841033"/>
    <w:rsid w:val="00842A07"/>
    <w:rsid w:val="008444FF"/>
    <w:rsid w:val="00846D21"/>
    <w:rsid w:val="008507A9"/>
    <w:rsid w:val="00863E2D"/>
    <w:rsid w:val="00865BDD"/>
    <w:rsid w:val="00873DA4"/>
    <w:rsid w:val="00875381"/>
    <w:rsid w:val="00880C79"/>
    <w:rsid w:val="00885441"/>
    <w:rsid w:val="008A2311"/>
    <w:rsid w:val="008A469D"/>
    <w:rsid w:val="008B11EF"/>
    <w:rsid w:val="008B7621"/>
    <w:rsid w:val="008C0046"/>
    <w:rsid w:val="008C14A0"/>
    <w:rsid w:val="008C1C3A"/>
    <w:rsid w:val="008E79C2"/>
    <w:rsid w:val="008F381D"/>
    <w:rsid w:val="008F561B"/>
    <w:rsid w:val="008F6FDA"/>
    <w:rsid w:val="0090050F"/>
    <w:rsid w:val="009006D3"/>
    <w:rsid w:val="009032B2"/>
    <w:rsid w:val="009059FE"/>
    <w:rsid w:val="00923FF4"/>
    <w:rsid w:val="00926B11"/>
    <w:rsid w:val="00932914"/>
    <w:rsid w:val="00943752"/>
    <w:rsid w:val="00951ECA"/>
    <w:rsid w:val="00957AF1"/>
    <w:rsid w:val="00975DC4"/>
    <w:rsid w:val="009764BF"/>
    <w:rsid w:val="009812BD"/>
    <w:rsid w:val="0098276F"/>
    <w:rsid w:val="00987AE7"/>
    <w:rsid w:val="009908BA"/>
    <w:rsid w:val="009A0305"/>
    <w:rsid w:val="009A425F"/>
    <w:rsid w:val="009A6D03"/>
    <w:rsid w:val="009B4A7A"/>
    <w:rsid w:val="009C634A"/>
    <w:rsid w:val="009C6355"/>
    <w:rsid w:val="009C7FA8"/>
    <w:rsid w:val="009D1E60"/>
    <w:rsid w:val="009E1DD1"/>
    <w:rsid w:val="009F0AF2"/>
    <w:rsid w:val="00A009D5"/>
    <w:rsid w:val="00A04037"/>
    <w:rsid w:val="00A04DD2"/>
    <w:rsid w:val="00A0561C"/>
    <w:rsid w:val="00A059E8"/>
    <w:rsid w:val="00A06565"/>
    <w:rsid w:val="00A20DAB"/>
    <w:rsid w:val="00A217D9"/>
    <w:rsid w:val="00A414D8"/>
    <w:rsid w:val="00A5564D"/>
    <w:rsid w:val="00A61635"/>
    <w:rsid w:val="00A61944"/>
    <w:rsid w:val="00A64E0E"/>
    <w:rsid w:val="00A652CB"/>
    <w:rsid w:val="00A66DB8"/>
    <w:rsid w:val="00A75A6E"/>
    <w:rsid w:val="00A76EF1"/>
    <w:rsid w:val="00A9284F"/>
    <w:rsid w:val="00A97A31"/>
    <w:rsid w:val="00AB0CCE"/>
    <w:rsid w:val="00AE1CB1"/>
    <w:rsid w:val="00AE7249"/>
    <w:rsid w:val="00AF0316"/>
    <w:rsid w:val="00AF44A4"/>
    <w:rsid w:val="00AF71A3"/>
    <w:rsid w:val="00B054EF"/>
    <w:rsid w:val="00B431F6"/>
    <w:rsid w:val="00B43E8C"/>
    <w:rsid w:val="00B45948"/>
    <w:rsid w:val="00B45D89"/>
    <w:rsid w:val="00B51553"/>
    <w:rsid w:val="00B539CF"/>
    <w:rsid w:val="00B56E6C"/>
    <w:rsid w:val="00B608AF"/>
    <w:rsid w:val="00B60993"/>
    <w:rsid w:val="00B66150"/>
    <w:rsid w:val="00B75422"/>
    <w:rsid w:val="00B80F0B"/>
    <w:rsid w:val="00B817E7"/>
    <w:rsid w:val="00B86EDE"/>
    <w:rsid w:val="00B91F5F"/>
    <w:rsid w:val="00B97F8F"/>
    <w:rsid w:val="00BA12EF"/>
    <w:rsid w:val="00BA577D"/>
    <w:rsid w:val="00BB4253"/>
    <w:rsid w:val="00BC093C"/>
    <w:rsid w:val="00BD07F8"/>
    <w:rsid w:val="00BD6DDA"/>
    <w:rsid w:val="00BE4057"/>
    <w:rsid w:val="00BE5C14"/>
    <w:rsid w:val="00BF14B6"/>
    <w:rsid w:val="00BF59FB"/>
    <w:rsid w:val="00BF6300"/>
    <w:rsid w:val="00BF6FDE"/>
    <w:rsid w:val="00BF7F46"/>
    <w:rsid w:val="00C1034D"/>
    <w:rsid w:val="00C21828"/>
    <w:rsid w:val="00C274E6"/>
    <w:rsid w:val="00C310FC"/>
    <w:rsid w:val="00C32518"/>
    <w:rsid w:val="00C34397"/>
    <w:rsid w:val="00C36C04"/>
    <w:rsid w:val="00C53E0F"/>
    <w:rsid w:val="00C5656F"/>
    <w:rsid w:val="00C63635"/>
    <w:rsid w:val="00C76102"/>
    <w:rsid w:val="00C7712E"/>
    <w:rsid w:val="00C87EF8"/>
    <w:rsid w:val="00C90682"/>
    <w:rsid w:val="00CA588F"/>
    <w:rsid w:val="00CC0016"/>
    <w:rsid w:val="00CC1AF0"/>
    <w:rsid w:val="00CC21A3"/>
    <w:rsid w:val="00CC66FB"/>
    <w:rsid w:val="00CD6E25"/>
    <w:rsid w:val="00CD7850"/>
    <w:rsid w:val="00CE2329"/>
    <w:rsid w:val="00CE52CB"/>
    <w:rsid w:val="00CF2200"/>
    <w:rsid w:val="00D06300"/>
    <w:rsid w:val="00D079C6"/>
    <w:rsid w:val="00D14B98"/>
    <w:rsid w:val="00D23903"/>
    <w:rsid w:val="00D46B88"/>
    <w:rsid w:val="00D47ECC"/>
    <w:rsid w:val="00D623CA"/>
    <w:rsid w:val="00D65102"/>
    <w:rsid w:val="00D67431"/>
    <w:rsid w:val="00D73D1C"/>
    <w:rsid w:val="00D77895"/>
    <w:rsid w:val="00D82C33"/>
    <w:rsid w:val="00D860E9"/>
    <w:rsid w:val="00D86E93"/>
    <w:rsid w:val="00D96096"/>
    <w:rsid w:val="00DB513F"/>
    <w:rsid w:val="00DC3AA4"/>
    <w:rsid w:val="00DC3C85"/>
    <w:rsid w:val="00DC3EB2"/>
    <w:rsid w:val="00DF02C2"/>
    <w:rsid w:val="00DF2ECB"/>
    <w:rsid w:val="00DF5AA9"/>
    <w:rsid w:val="00E0058E"/>
    <w:rsid w:val="00E00D78"/>
    <w:rsid w:val="00E0674E"/>
    <w:rsid w:val="00E12052"/>
    <w:rsid w:val="00E122B0"/>
    <w:rsid w:val="00E1629A"/>
    <w:rsid w:val="00E163C7"/>
    <w:rsid w:val="00E1768C"/>
    <w:rsid w:val="00E23504"/>
    <w:rsid w:val="00E255C9"/>
    <w:rsid w:val="00E27F5A"/>
    <w:rsid w:val="00E32BB2"/>
    <w:rsid w:val="00E526A8"/>
    <w:rsid w:val="00E70DFB"/>
    <w:rsid w:val="00E720BB"/>
    <w:rsid w:val="00E80541"/>
    <w:rsid w:val="00E85D8B"/>
    <w:rsid w:val="00EA6439"/>
    <w:rsid w:val="00ED5F67"/>
    <w:rsid w:val="00EE5E9F"/>
    <w:rsid w:val="00EF21DB"/>
    <w:rsid w:val="00F00740"/>
    <w:rsid w:val="00F119E8"/>
    <w:rsid w:val="00F17498"/>
    <w:rsid w:val="00F305E7"/>
    <w:rsid w:val="00F33274"/>
    <w:rsid w:val="00F5099C"/>
    <w:rsid w:val="00F5373E"/>
    <w:rsid w:val="00F54254"/>
    <w:rsid w:val="00F5438F"/>
    <w:rsid w:val="00F6108B"/>
    <w:rsid w:val="00F65068"/>
    <w:rsid w:val="00F6564C"/>
    <w:rsid w:val="00F72E0D"/>
    <w:rsid w:val="00F902E6"/>
    <w:rsid w:val="00F93AC4"/>
    <w:rsid w:val="00FA79E5"/>
    <w:rsid w:val="00FB3107"/>
    <w:rsid w:val="00FB4B9A"/>
    <w:rsid w:val="00FB67A6"/>
    <w:rsid w:val="00FD1E6E"/>
    <w:rsid w:val="00FD7AF5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225CFD62"/>
  <w15:docId w15:val="{87685B0A-8A73-4ABB-83AE-19D55AE2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42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591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91426"/>
    <w:pPr>
      <w:keepNext/>
      <w:widowControl w:val="0"/>
      <w:outlineLvl w:val="2"/>
    </w:pPr>
    <w:rPr>
      <w:i/>
      <w:iCs/>
      <w:snapToGrid w:val="0"/>
      <w:lang w:eastAsia="en-US"/>
    </w:rPr>
  </w:style>
  <w:style w:type="paragraph" w:styleId="Heading4">
    <w:name w:val="heading 4"/>
    <w:basedOn w:val="Normal"/>
    <w:next w:val="Normal"/>
    <w:qFormat/>
    <w:rsid w:val="0038124F"/>
    <w:pPr>
      <w:keepNext/>
      <w:jc w:val="center"/>
      <w:outlineLvl w:val="3"/>
    </w:pPr>
    <w:rPr>
      <w:rFonts w:ascii="CG Times (W1)" w:hAnsi="CG Times (W1)"/>
      <w:b/>
      <w:sz w:val="28"/>
      <w:szCs w:val="20"/>
      <w:lang w:eastAsia="en-US"/>
    </w:rPr>
  </w:style>
  <w:style w:type="paragraph" w:styleId="Heading7">
    <w:name w:val="heading 7"/>
    <w:basedOn w:val="Normal"/>
    <w:next w:val="Normal"/>
    <w:qFormat/>
    <w:rsid w:val="0038124F"/>
    <w:pPr>
      <w:ind w:left="720"/>
      <w:outlineLvl w:val="6"/>
    </w:pPr>
    <w:rPr>
      <w:i/>
      <w:sz w:val="20"/>
      <w:szCs w:val="20"/>
      <w:lang w:eastAsia="en-US"/>
    </w:rPr>
  </w:style>
  <w:style w:type="paragraph" w:styleId="Heading8">
    <w:name w:val="heading 8"/>
    <w:basedOn w:val="Normal"/>
    <w:next w:val="Normal"/>
    <w:qFormat/>
    <w:rsid w:val="0038124F"/>
    <w:pPr>
      <w:ind w:left="720"/>
      <w:outlineLvl w:val="7"/>
    </w:pPr>
    <w:rPr>
      <w:i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head">
    <w:name w:val="lethead"/>
    <w:basedOn w:val="Header"/>
    <w:rsid w:val="00591426"/>
    <w:pPr>
      <w:tabs>
        <w:tab w:val="clear" w:pos="4153"/>
        <w:tab w:val="clear" w:pos="8306"/>
        <w:tab w:val="center" w:pos="4819"/>
        <w:tab w:val="right" w:pos="9071"/>
      </w:tabs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91426"/>
    <w:pPr>
      <w:tabs>
        <w:tab w:val="center" w:pos="4153"/>
        <w:tab w:val="right" w:pos="8306"/>
      </w:tabs>
    </w:pPr>
  </w:style>
  <w:style w:type="paragraph" w:customStyle="1" w:styleId="sssubhead1">
    <w:name w:val="sssubhead1"/>
    <w:basedOn w:val="Heading1"/>
    <w:next w:val="PlainText"/>
    <w:autoRedefine/>
    <w:rsid w:val="00591426"/>
    <w:pPr>
      <w:keepNext w:val="0"/>
      <w:numPr>
        <w:numId w:val="1"/>
      </w:numPr>
      <w:spacing w:before="0" w:after="0"/>
    </w:pPr>
    <w:rPr>
      <w:kern w:val="0"/>
      <w:sz w:val="28"/>
      <w:szCs w:val="28"/>
    </w:rPr>
  </w:style>
  <w:style w:type="paragraph" w:customStyle="1" w:styleId="ssheader">
    <w:name w:val="ssheader"/>
    <w:basedOn w:val="Heading1"/>
    <w:rsid w:val="00591426"/>
    <w:pPr>
      <w:keepNext w:val="0"/>
      <w:spacing w:before="0" w:after="0"/>
    </w:pPr>
    <w:rPr>
      <w:caps/>
      <w:kern w:val="0"/>
      <w:sz w:val="40"/>
      <w:szCs w:val="40"/>
    </w:rPr>
  </w:style>
  <w:style w:type="paragraph" w:styleId="BodyTextIndent">
    <w:name w:val="Body Text Indent"/>
    <w:basedOn w:val="Normal"/>
    <w:rsid w:val="00591426"/>
    <w:pPr>
      <w:ind w:left="720"/>
    </w:pPr>
    <w:rPr>
      <w:rFonts w:ascii="Arial" w:hAnsi="Arial" w:cs="Arial"/>
    </w:rPr>
  </w:style>
  <w:style w:type="paragraph" w:styleId="BodyTextIndent2">
    <w:name w:val="Body Text Indent 2"/>
    <w:basedOn w:val="Normal"/>
    <w:rsid w:val="00591426"/>
    <w:pPr>
      <w:ind w:left="720"/>
      <w:jc w:val="both"/>
    </w:pPr>
  </w:style>
  <w:style w:type="paragraph" w:styleId="Footer">
    <w:name w:val="footer"/>
    <w:basedOn w:val="Normal"/>
    <w:link w:val="FooterChar"/>
    <w:uiPriority w:val="99"/>
    <w:rsid w:val="005914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91426"/>
  </w:style>
  <w:style w:type="paragraph" w:styleId="PlainText">
    <w:name w:val="Plain Text"/>
    <w:basedOn w:val="Normal"/>
    <w:link w:val="PlainTextChar"/>
    <w:rsid w:val="00591426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CC6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E7E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8124F"/>
    <w:pPr>
      <w:jc w:val="center"/>
    </w:pPr>
    <w:rPr>
      <w:szCs w:val="20"/>
      <w:lang w:eastAsia="en-US"/>
    </w:rPr>
  </w:style>
  <w:style w:type="paragraph" w:styleId="BodyText3">
    <w:name w:val="Body Text 3"/>
    <w:basedOn w:val="Normal"/>
    <w:rsid w:val="0038124F"/>
    <w:pPr>
      <w:spacing w:after="120"/>
    </w:pPr>
    <w:rPr>
      <w:sz w:val="16"/>
      <w:szCs w:val="16"/>
      <w:lang w:eastAsia="en-US"/>
    </w:rPr>
  </w:style>
  <w:style w:type="paragraph" w:styleId="BodyText2">
    <w:name w:val="Body Text 2"/>
    <w:basedOn w:val="Normal"/>
    <w:rsid w:val="0038124F"/>
    <w:rPr>
      <w:szCs w:val="20"/>
      <w:lang w:eastAsia="en-US"/>
    </w:rPr>
  </w:style>
  <w:style w:type="paragraph" w:customStyle="1" w:styleId="Style1">
    <w:name w:val="Style1"/>
    <w:basedOn w:val="Normal"/>
    <w:rsid w:val="0038124F"/>
    <w:pPr>
      <w:spacing w:line="280" w:lineRule="atLeast"/>
      <w:jc w:val="both"/>
    </w:pPr>
    <w:rPr>
      <w:kern w:val="28"/>
      <w:sz w:val="22"/>
      <w:szCs w:val="20"/>
      <w:lang w:eastAsia="en-US"/>
    </w:rPr>
  </w:style>
  <w:style w:type="paragraph" w:customStyle="1" w:styleId="Char1">
    <w:name w:val="Char1"/>
    <w:basedOn w:val="Normal"/>
    <w:rsid w:val="007541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62B17"/>
    <w:rPr>
      <w:sz w:val="24"/>
      <w:szCs w:val="24"/>
      <w:lang w:val="en-GB" w:eastAsia="en-GB"/>
    </w:rPr>
  </w:style>
  <w:style w:type="character" w:customStyle="1" w:styleId="PlainTextChar">
    <w:name w:val="Plain Text Char"/>
    <w:link w:val="PlainText"/>
    <w:locked/>
    <w:rsid w:val="00863E2D"/>
    <w:rPr>
      <w:rFonts w:ascii="Courier New" w:hAnsi="Courier New" w:cs="Courier New"/>
      <w:lang w:val="en-GB" w:eastAsia="en-GB"/>
    </w:rPr>
  </w:style>
  <w:style w:type="paragraph" w:customStyle="1" w:styleId="Default">
    <w:name w:val="Default"/>
    <w:rsid w:val="00AE724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5F3E61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33dadb792242fe9b5669aa8757600b xmlns="a74abe98-04d6-4650-a86d-b684cd679024">
      <Terms xmlns="http://schemas.microsoft.com/office/infopath/2007/PartnerControls"/>
    </b133dadb792242fe9b5669aa8757600b>
    <TaxCatchAll xmlns="a74abe98-04d6-4650-a86d-b684cd679024"/>
    <TaxKeywordTaxHTField xmlns="a74abe98-04d6-4650-a86d-b684cd679024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FRS Document" ma:contentTypeID="0x010100E1CC3F4493E0FC4D8466E5A01983787500B85C5520223B844486E9A97D9ECDFF88" ma:contentTypeVersion="100" ma:contentTypeDescription="" ma:contentTypeScope="" ma:versionID="9655f2d65c7bf73972ddf1736638c3aa">
  <xsd:schema xmlns:xsd="http://www.w3.org/2001/XMLSchema" xmlns:xs="http://www.w3.org/2001/XMLSchema" xmlns:p="http://schemas.microsoft.com/office/2006/metadata/properties" xmlns:ns2="a74abe98-04d6-4650-a86d-b684cd679024" targetNamespace="http://schemas.microsoft.com/office/2006/metadata/properties" ma:root="true" ma:fieldsID="8c269e73c1bd99d3818bae084d90bd16" ns2:_="">
    <xsd:import namespace="a74abe98-04d6-4650-a86d-b684cd679024"/>
    <xsd:element name="properties">
      <xsd:complexType>
        <xsd:sequence>
          <xsd:element name="documentManagement">
            <xsd:complexType>
              <xsd:all>
                <xsd:element ref="ns2:b133dadb792242fe9b5669aa8757600b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be98-04d6-4650-a86d-b684cd679024" elementFormDefault="qualified">
    <xsd:import namespace="http://schemas.microsoft.com/office/2006/documentManagement/types"/>
    <xsd:import namespace="http://schemas.microsoft.com/office/infopath/2007/PartnerControls"/>
    <xsd:element name="b133dadb792242fe9b5669aa8757600b" ma:index="8" nillable="true" ma:taxonomy="true" ma:internalName="b133dadb792242fe9b5669aa8757600b" ma:taxonomyFieldName="SFRSTopic" ma:displayName="Topic" ma:default="" ma:fieldId="{b133dadb-7922-42fe-9b56-69aa8757600b}" ma:taxonomyMulti="true" ma:sspId="15cec8fd-eede-43ea-a7f7-e4f4e18d2a8d" ma:termSetId="eae722c5-96a9-4af1-a721-0837f8bdce06" ma:anchorId="949c01f9-08a4-4d2c-ac69-99c962a8204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9d51406-ce02-4548-b1af-10b748e7aba4}" ma:internalName="TaxCatchAll" ma:showField="CatchAllData" ma:web="39fb1d26-0ecc-4f8f-93bc-6eb2e9b87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9d51406-ce02-4548-b1af-10b748e7aba4}" ma:internalName="TaxCatchAllLabel" ma:readOnly="true" ma:showField="CatchAllDataLabel" ma:web="39fb1d26-0ecc-4f8f-93bc-6eb2e9b87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15cec8fd-eede-43ea-a7f7-e4f4e18d2a8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5cec8fd-eede-43ea-a7f7-e4f4e18d2a8d" ContentTypeId="0x010100E1CC3F4493E0FC4D8466E5A019837875" PreviousValue="true"/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8E770-5108-40D4-93A2-18C65D8DF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14786-3F7B-481B-B370-A7D027769D78}">
  <ds:schemaRefs>
    <ds:schemaRef ds:uri="http://purl.org/dc/elements/1.1/"/>
    <ds:schemaRef ds:uri="a74abe98-04d6-4650-a86d-b684cd679024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5BB8F9-1FDE-4763-86C6-380DF84E4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abe98-04d6-4650-a86d-b684cd679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E0E994-5C61-4DFB-8F26-2091E7E2B55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902378D-6AE0-4F8E-AE02-8993FF4E8C2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E5AF689-92FB-4C0C-B34B-C6802706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Shropshire and Wrekin Fire Authority</vt:lpstr>
    </vt:vector>
  </TitlesOfParts>
  <Company>SFRS</Company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Shropshire and Wrekin Fire Authority</dc:title>
  <dc:subject/>
  <dc:creator>Joanne Coadey</dc:creator>
  <cp:keywords/>
  <dc:description/>
  <cp:lastModifiedBy>Lynn Ince</cp:lastModifiedBy>
  <cp:revision>23</cp:revision>
  <cp:lastPrinted>2015-01-28T10:24:00Z</cp:lastPrinted>
  <dcterms:created xsi:type="dcterms:W3CDTF">2014-12-17T16:36:00Z</dcterms:created>
  <dcterms:modified xsi:type="dcterms:W3CDTF">2015-01-28T10:25:00Z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0x010100E1CC3F4493E0FC4D8466E5A01983787500B85C5520223B844486E9A97D9ECDFF88</vt:lpwstr>
  </property>
  <property fmtid="{D5CDD505-2E9C-101B-9397-08002B2CF9AE}" pid="3" name="TaxKeyword">
    <vt:lpwstr/>
  </property>
  <property fmtid="{D5CDD505-2E9C-101B-9397-08002B2CF9AE}" pid="4" name="SFRSTopic">
    <vt:lpwstr/>
  </property>
</Properties>
</file>