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715C1" w14:textId="77777777"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201715C2" w14:textId="77777777" w:rsidR="00CD7850" w:rsidRPr="00DE52D0" w:rsidRDefault="00DE52D0" w:rsidP="00591426">
      <w:pPr>
        <w:widowControl w:val="0"/>
        <w:jc w:val="right"/>
        <w:rPr>
          <w:rFonts w:ascii="Arial" w:hAnsi="Arial" w:cs="Arial"/>
          <w:snapToGrid w:val="0"/>
          <w:lang w:eastAsia="en-US"/>
        </w:rPr>
      </w:pPr>
      <w:r w:rsidRPr="00DE52D0">
        <w:rPr>
          <w:rFonts w:ascii="Arial" w:hAnsi="Arial" w:cs="Arial"/>
          <w:snapToGrid w:val="0"/>
          <w:lang w:eastAsia="en-US"/>
        </w:rPr>
        <w:t>Strategy and Resources Committee</w:t>
      </w:r>
    </w:p>
    <w:p w14:paraId="201715C3" w14:textId="77777777" w:rsidR="00CD7850" w:rsidRPr="007D7800" w:rsidRDefault="00613914" w:rsidP="00591426">
      <w:pPr>
        <w:widowControl w:val="0"/>
        <w:jc w:val="right"/>
        <w:rPr>
          <w:rFonts w:ascii="Arial" w:hAnsi="Arial" w:cs="Arial"/>
          <w:snapToGrid w:val="0"/>
          <w:color w:val="FF0000"/>
          <w:lang w:eastAsia="en-US"/>
        </w:rPr>
      </w:pPr>
      <w:r>
        <w:rPr>
          <w:rFonts w:ascii="Arial" w:hAnsi="Arial" w:cs="Arial"/>
          <w:snapToGrid w:val="0"/>
          <w:lang w:eastAsia="en-US"/>
        </w:rPr>
        <w:t>5</w:t>
      </w:r>
      <w:r w:rsidR="00DE52D0" w:rsidRPr="00DE52D0">
        <w:rPr>
          <w:rFonts w:ascii="Arial" w:hAnsi="Arial" w:cs="Arial"/>
          <w:snapToGrid w:val="0"/>
          <w:lang w:eastAsia="en-US"/>
        </w:rPr>
        <w:t xml:space="preserve"> February 201</w:t>
      </w:r>
      <w:r>
        <w:rPr>
          <w:rFonts w:ascii="Arial" w:hAnsi="Arial" w:cs="Arial"/>
          <w:snapToGrid w:val="0"/>
          <w:lang w:eastAsia="en-US"/>
        </w:rPr>
        <w:t>5</w:t>
      </w:r>
    </w:p>
    <w:p w14:paraId="201715C4" w14:textId="77777777" w:rsidR="00591426" w:rsidRDefault="00591426" w:rsidP="00591426">
      <w:pPr>
        <w:widowControl w:val="0"/>
        <w:rPr>
          <w:rFonts w:ascii="Arial" w:hAnsi="Arial" w:cs="Arial"/>
          <w:snapToGrid w:val="0"/>
          <w:lang w:eastAsia="en-US"/>
        </w:rPr>
      </w:pPr>
    </w:p>
    <w:p w14:paraId="201715C5" w14:textId="77777777" w:rsidR="00A13231" w:rsidRPr="006D45C8" w:rsidRDefault="00A13231" w:rsidP="00591426">
      <w:pPr>
        <w:widowControl w:val="0"/>
        <w:rPr>
          <w:rFonts w:ascii="Arial" w:hAnsi="Arial" w:cs="Arial"/>
          <w:snapToGrid w:val="0"/>
          <w:lang w:eastAsia="en-US"/>
        </w:rPr>
      </w:pPr>
    </w:p>
    <w:p w14:paraId="201715C6" w14:textId="77777777" w:rsidR="00DE52D0" w:rsidRDefault="00DE2909" w:rsidP="00DE52D0">
      <w:pPr>
        <w:pStyle w:val="ssheader"/>
        <w:widowControl w:val="0"/>
      </w:pPr>
      <w:r>
        <w:fldChar w:fldCharType="begin"/>
      </w:r>
      <w:r>
        <w:instrText xml:space="preserve"> FILLIN  "TITLE OF REPORT"  \* MERGEFORMAT </w:instrText>
      </w:r>
      <w:r>
        <w:fldChar w:fldCharType="separate"/>
      </w:r>
      <w:r w:rsidR="00DE52D0">
        <w:rPr>
          <w:caps w:val="0"/>
        </w:rPr>
        <w:t>Capital Programmes 201</w:t>
      </w:r>
      <w:r w:rsidR="00613914">
        <w:rPr>
          <w:caps w:val="0"/>
        </w:rPr>
        <w:t>5</w:t>
      </w:r>
      <w:r w:rsidR="00DE52D0">
        <w:rPr>
          <w:caps w:val="0"/>
        </w:rPr>
        <w:t>/1</w:t>
      </w:r>
      <w:r w:rsidR="00613914">
        <w:rPr>
          <w:caps w:val="0"/>
        </w:rPr>
        <w:t>6</w:t>
      </w:r>
      <w:r w:rsidR="00DE52D0">
        <w:rPr>
          <w:caps w:val="0"/>
        </w:rPr>
        <w:t xml:space="preserve"> to 201</w:t>
      </w:r>
      <w:r w:rsidR="00613914">
        <w:rPr>
          <w:caps w:val="0"/>
        </w:rPr>
        <w:t>9</w:t>
      </w:r>
      <w:r w:rsidR="00DE52D0">
        <w:rPr>
          <w:caps w:val="0"/>
        </w:rPr>
        <w:t>/</w:t>
      </w:r>
      <w:r w:rsidR="00613914">
        <w:rPr>
          <w:caps w:val="0"/>
        </w:rPr>
        <w:t>20</w:t>
      </w:r>
      <w:r w:rsidR="00DE52D0">
        <w:rPr>
          <w:caps w:val="0"/>
        </w:rPr>
        <w:t xml:space="preserve"> and Prudential Guidelines</w:t>
      </w:r>
      <w:r>
        <w:rPr>
          <w:caps w:val="0"/>
        </w:rPr>
        <w:fldChar w:fldCharType="end"/>
      </w:r>
    </w:p>
    <w:p w14:paraId="201715C7" w14:textId="77777777" w:rsidR="00591426" w:rsidRDefault="00591426" w:rsidP="00F72E0D">
      <w:pPr>
        <w:widowControl w:val="0"/>
        <w:jc w:val="both"/>
        <w:rPr>
          <w:rFonts w:ascii="Arial" w:hAnsi="Arial"/>
          <w:b/>
          <w:snapToGrid w:val="0"/>
          <w:lang w:eastAsia="en-US"/>
        </w:rPr>
      </w:pPr>
    </w:p>
    <w:p w14:paraId="201715C8" w14:textId="77777777" w:rsidR="00CD7850" w:rsidRPr="00117B5F" w:rsidRDefault="00CD7850" w:rsidP="00F72E0D">
      <w:pPr>
        <w:widowControl w:val="0"/>
        <w:jc w:val="both"/>
        <w:rPr>
          <w:rFonts w:ascii="Arial" w:hAnsi="Arial"/>
          <w:b/>
          <w:snapToGrid w:val="0"/>
          <w:lang w:eastAsia="en-US"/>
        </w:rPr>
      </w:pPr>
    </w:p>
    <w:p w14:paraId="201715C9" w14:textId="77777777" w:rsidR="002231CA" w:rsidRDefault="002231CA" w:rsidP="00CD7850">
      <w:pPr>
        <w:pStyle w:val="ssheader"/>
        <w:widowControl w:val="0"/>
        <w:rPr>
          <w:sz w:val="28"/>
          <w:szCs w:val="28"/>
        </w:rPr>
      </w:pPr>
      <w:r>
        <w:rPr>
          <w:caps w:val="0"/>
          <w:sz w:val="28"/>
          <w:szCs w:val="28"/>
        </w:rPr>
        <w:t xml:space="preserve">Report of the </w:t>
      </w:r>
      <w:r w:rsidR="008B2D2D">
        <w:rPr>
          <w:caps w:val="0"/>
          <w:sz w:val="28"/>
          <w:szCs w:val="28"/>
        </w:rPr>
        <w:t>Treasurer</w:t>
      </w:r>
    </w:p>
    <w:p w14:paraId="201715CA" w14:textId="77777777" w:rsidR="00591426" w:rsidRPr="007D7800" w:rsidRDefault="00DE52D0" w:rsidP="00CD7850">
      <w:pPr>
        <w:pStyle w:val="ssheader"/>
        <w:widowControl w:val="0"/>
        <w:rPr>
          <w:rFonts w:cs="Times New Roman"/>
          <w:b w:val="0"/>
          <w:bCs w:val="0"/>
          <w:caps w:val="0"/>
          <w:snapToGrid w:val="0"/>
          <w:sz w:val="24"/>
          <w:szCs w:val="24"/>
          <w:lang w:eastAsia="en-US"/>
        </w:rPr>
      </w:pPr>
      <w:r w:rsidRPr="00DE52D0">
        <w:rPr>
          <w:b w:val="0"/>
          <w:bCs w:val="0"/>
          <w:caps w:val="0"/>
          <w:snapToGrid w:val="0"/>
          <w:sz w:val="24"/>
          <w:szCs w:val="24"/>
          <w:lang w:eastAsia="en-US"/>
        </w:rPr>
        <w:t xml:space="preserve">For further information about this report please contact </w:t>
      </w:r>
      <w:r w:rsidRPr="00DE52D0">
        <w:rPr>
          <w:b w:val="0"/>
          <w:bCs w:val="0"/>
          <w:caps w:val="0"/>
          <w:snapToGrid w:val="0"/>
          <w:sz w:val="24"/>
          <w:szCs w:val="24"/>
          <w:lang w:eastAsia="en-US"/>
        </w:rPr>
        <w:fldChar w:fldCharType="begin"/>
      </w:r>
      <w:r w:rsidRPr="00DE52D0">
        <w:rPr>
          <w:b w:val="0"/>
          <w:bCs w:val="0"/>
          <w:caps w:val="0"/>
          <w:snapToGrid w:val="0"/>
          <w:sz w:val="24"/>
          <w:szCs w:val="24"/>
          <w:lang w:eastAsia="en-US"/>
        </w:rPr>
        <w:instrText xml:space="preserve"> FILLIN  "Insert contact details (approx line 41)"  \* MERGEFORMAT </w:instrText>
      </w:r>
      <w:r w:rsidRPr="00DE52D0">
        <w:rPr>
          <w:b w:val="0"/>
          <w:bCs w:val="0"/>
          <w:caps w:val="0"/>
          <w:snapToGrid w:val="0"/>
          <w:sz w:val="24"/>
          <w:szCs w:val="24"/>
          <w:lang w:eastAsia="en-US"/>
        </w:rPr>
        <w:fldChar w:fldCharType="separate"/>
      </w:r>
      <w:r w:rsidRPr="00DE52D0">
        <w:rPr>
          <w:b w:val="0"/>
          <w:bCs w:val="0"/>
          <w:caps w:val="0"/>
          <w:snapToGrid w:val="0"/>
          <w:sz w:val="24"/>
          <w:szCs w:val="24"/>
          <w:lang w:eastAsia="en-US"/>
        </w:rPr>
        <w:t>James Walton, Treasurer, on 01743 255011, or Joanne Coadey, Head of Finance, on 01743 260215</w:t>
      </w:r>
      <w:r w:rsidRPr="00DE52D0">
        <w:rPr>
          <w:b w:val="0"/>
          <w:bCs w:val="0"/>
          <w:caps w:val="0"/>
          <w:snapToGrid w:val="0"/>
          <w:sz w:val="24"/>
          <w:szCs w:val="24"/>
          <w:lang w:eastAsia="en-US"/>
        </w:rPr>
        <w:fldChar w:fldCharType="end"/>
      </w:r>
      <w:r>
        <w:rPr>
          <w:b w:val="0"/>
          <w:caps w:val="0"/>
          <w:sz w:val="24"/>
          <w:szCs w:val="24"/>
        </w:rPr>
        <w:t>.</w:t>
      </w:r>
      <w:r w:rsidR="004E0C2B">
        <w:fldChar w:fldCharType="begin"/>
      </w:r>
      <w:r w:rsidR="00336FE6">
        <w:instrText xml:space="preserve"> FILLIN  "TITLE OF REPORT"  \* MERGEFORMAT </w:instrText>
      </w:r>
      <w:r w:rsidR="004E0C2B">
        <w:fldChar w:fldCharType="end"/>
      </w:r>
    </w:p>
    <w:p w14:paraId="201715CB" w14:textId="77777777" w:rsidR="00591426" w:rsidRDefault="00591426" w:rsidP="00F72E0D">
      <w:pPr>
        <w:widowControl w:val="0"/>
        <w:rPr>
          <w:rFonts w:ascii="Arial" w:hAnsi="Arial"/>
          <w:snapToGrid w:val="0"/>
          <w:lang w:eastAsia="en-US"/>
        </w:rPr>
      </w:pPr>
    </w:p>
    <w:p w14:paraId="201715CC" w14:textId="77777777" w:rsidR="00A13231" w:rsidRPr="00A04037" w:rsidRDefault="00A13231" w:rsidP="00F72E0D">
      <w:pPr>
        <w:widowControl w:val="0"/>
        <w:rPr>
          <w:rFonts w:ascii="Arial" w:hAnsi="Arial"/>
          <w:snapToGrid w:val="0"/>
          <w:lang w:eastAsia="en-US"/>
        </w:rPr>
      </w:pPr>
    </w:p>
    <w:p w14:paraId="201715CD" w14:textId="77777777" w:rsidR="00591426" w:rsidRDefault="00591426" w:rsidP="00F53419">
      <w:pPr>
        <w:pStyle w:val="sssubhead1"/>
      </w:pPr>
      <w:r>
        <w:t>Purpose of Report</w:t>
      </w:r>
    </w:p>
    <w:p w14:paraId="201715CE" w14:textId="77777777" w:rsidR="00117B5F" w:rsidRPr="00117B5F" w:rsidRDefault="00117B5F" w:rsidP="00117B5F">
      <w:pPr>
        <w:pStyle w:val="PlainText"/>
        <w:rPr>
          <w:rFonts w:ascii="Arial" w:hAnsi="Arial" w:cs="Arial"/>
          <w:sz w:val="24"/>
          <w:szCs w:val="24"/>
        </w:rPr>
      </w:pPr>
    </w:p>
    <w:p w14:paraId="201715CF" w14:textId="77777777" w:rsidR="00DE52D0" w:rsidRDefault="00DE52D0" w:rsidP="00DE52D0">
      <w:pPr>
        <w:ind w:left="720"/>
        <w:rPr>
          <w:rFonts w:ascii="Arial" w:hAnsi="Arial" w:cs="Arial"/>
        </w:rPr>
      </w:pPr>
      <w:r w:rsidRPr="007F65E2">
        <w:rPr>
          <w:rFonts w:ascii="Arial" w:hAnsi="Arial" w:cs="Arial"/>
        </w:rPr>
        <w:t>This report presents the capital programme</w:t>
      </w:r>
      <w:r>
        <w:rPr>
          <w:rFonts w:ascii="Arial" w:hAnsi="Arial" w:cs="Arial"/>
        </w:rPr>
        <w:t>s for 201</w:t>
      </w:r>
      <w:r w:rsidR="006943BC">
        <w:rPr>
          <w:rFonts w:ascii="Arial" w:hAnsi="Arial" w:cs="Arial"/>
        </w:rPr>
        <w:t>5</w:t>
      </w:r>
      <w:r>
        <w:rPr>
          <w:rFonts w:ascii="Arial" w:hAnsi="Arial" w:cs="Arial"/>
        </w:rPr>
        <w:t>/1</w:t>
      </w:r>
      <w:r w:rsidR="006943BC">
        <w:rPr>
          <w:rFonts w:ascii="Arial" w:hAnsi="Arial" w:cs="Arial"/>
        </w:rPr>
        <w:t>6</w:t>
      </w:r>
      <w:r>
        <w:rPr>
          <w:rFonts w:ascii="Arial" w:hAnsi="Arial" w:cs="Arial"/>
        </w:rPr>
        <w:t xml:space="preserve"> to 201</w:t>
      </w:r>
      <w:r w:rsidR="006943BC">
        <w:rPr>
          <w:rFonts w:ascii="Arial" w:hAnsi="Arial" w:cs="Arial"/>
        </w:rPr>
        <w:t>9</w:t>
      </w:r>
      <w:r>
        <w:rPr>
          <w:rFonts w:ascii="Arial" w:hAnsi="Arial" w:cs="Arial"/>
        </w:rPr>
        <w:t>/</w:t>
      </w:r>
      <w:r w:rsidR="006943BC">
        <w:rPr>
          <w:rFonts w:ascii="Arial" w:hAnsi="Arial" w:cs="Arial"/>
        </w:rPr>
        <w:t>20</w:t>
      </w:r>
      <w:r w:rsidRPr="007F65E2">
        <w:rPr>
          <w:rFonts w:ascii="Arial" w:hAnsi="Arial" w:cs="Arial"/>
        </w:rPr>
        <w:t>, for consideration by the Committee in the context of Prudential Guidelines.</w:t>
      </w:r>
    </w:p>
    <w:p w14:paraId="201715D0" w14:textId="77777777" w:rsidR="0095388C" w:rsidRDefault="0095388C" w:rsidP="00DE52D0">
      <w:pPr>
        <w:ind w:left="720"/>
        <w:rPr>
          <w:rFonts w:ascii="Arial" w:hAnsi="Arial" w:cs="Arial"/>
        </w:rPr>
      </w:pPr>
    </w:p>
    <w:p w14:paraId="201715D1" w14:textId="77777777" w:rsidR="0095388C" w:rsidRPr="007F65E2" w:rsidRDefault="0095388C" w:rsidP="00DE52D0">
      <w:pPr>
        <w:ind w:left="720"/>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244"/>
      </w:tblGrid>
      <w:tr w:rsidR="00591426" w14:paraId="201715DE" w14:textId="77777777" w:rsidTr="00C52185">
        <w:tc>
          <w:tcPr>
            <w:tcW w:w="828" w:type="dxa"/>
            <w:tcBorders>
              <w:top w:val="nil"/>
              <w:left w:val="nil"/>
              <w:bottom w:val="nil"/>
            </w:tcBorders>
          </w:tcPr>
          <w:p w14:paraId="201715D2" w14:textId="77777777" w:rsidR="00591426" w:rsidRPr="000975D5" w:rsidRDefault="00591426" w:rsidP="00F72E0D">
            <w:pPr>
              <w:rPr>
                <w:rFonts w:ascii="Arial" w:hAnsi="Arial" w:cs="Arial"/>
                <w:sz w:val="22"/>
                <w:szCs w:val="22"/>
              </w:rPr>
            </w:pPr>
          </w:p>
          <w:p w14:paraId="201715D3" w14:textId="77777777" w:rsidR="00591426" w:rsidRDefault="00591426" w:rsidP="00F53419">
            <w:pPr>
              <w:pStyle w:val="sssubhead1"/>
            </w:pPr>
          </w:p>
        </w:tc>
        <w:tc>
          <w:tcPr>
            <w:tcW w:w="8244" w:type="dxa"/>
          </w:tcPr>
          <w:p w14:paraId="201715D4" w14:textId="77777777" w:rsidR="00591426" w:rsidRPr="000975D5" w:rsidRDefault="00591426" w:rsidP="00F72E0D">
            <w:pPr>
              <w:rPr>
                <w:rFonts w:ascii="Arial" w:hAnsi="Arial" w:cs="Arial"/>
                <w:sz w:val="22"/>
                <w:szCs w:val="22"/>
              </w:rPr>
            </w:pPr>
          </w:p>
          <w:p w14:paraId="201715D5" w14:textId="77777777" w:rsidR="000033ED" w:rsidRDefault="000033ED" w:rsidP="000033ED">
            <w:pPr>
              <w:pStyle w:val="lethead"/>
              <w:tabs>
                <w:tab w:val="clear" w:pos="4819"/>
                <w:tab w:val="clear" w:pos="9071"/>
              </w:tabs>
              <w:rPr>
                <w:rFonts w:ascii="Arial" w:hAnsi="Arial"/>
              </w:rPr>
            </w:pPr>
            <w:r>
              <w:rPr>
                <w:rFonts w:ascii="Arial" w:hAnsi="Arial"/>
              </w:rPr>
              <w:t>Recommendations</w:t>
            </w:r>
          </w:p>
          <w:p w14:paraId="201715D6" w14:textId="77777777" w:rsidR="000033ED" w:rsidRPr="007F65E2" w:rsidRDefault="000033ED" w:rsidP="000033ED">
            <w:pPr>
              <w:pStyle w:val="BodyTextIndent2"/>
              <w:ind w:left="0"/>
              <w:jc w:val="left"/>
              <w:rPr>
                <w:rFonts w:ascii="Arial" w:hAnsi="Arial" w:cs="Arial"/>
              </w:rPr>
            </w:pPr>
          </w:p>
          <w:p w14:paraId="201715D7" w14:textId="77777777" w:rsidR="000033ED" w:rsidRDefault="000033ED" w:rsidP="000033ED">
            <w:pPr>
              <w:pStyle w:val="BodyTextIndent2"/>
              <w:ind w:left="0"/>
              <w:jc w:val="left"/>
              <w:rPr>
                <w:rFonts w:ascii="Arial" w:hAnsi="Arial" w:cs="Arial"/>
              </w:rPr>
            </w:pPr>
            <w:r>
              <w:rPr>
                <w:rFonts w:ascii="Arial" w:hAnsi="Arial" w:cs="Arial"/>
              </w:rPr>
              <w:t>The Committee is asked to recommend that the Fire Authority:</w:t>
            </w:r>
          </w:p>
          <w:p w14:paraId="201715D8" w14:textId="77777777" w:rsidR="000033ED" w:rsidRDefault="000033ED" w:rsidP="000033ED">
            <w:pPr>
              <w:pStyle w:val="BodyTextIndent2"/>
              <w:ind w:left="0"/>
              <w:jc w:val="left"/>
              <w:rPr>
                <w:rFonts w:ascii="Arial" w:hAnsi="Arial" w:cs="Arial"/>
              </w:rPr>
            </w:pPr>
          </w:p>
          <w:p w14:paraId="201715D9" w14:textId="4BB1D17E" w:rsidR="000033ED" w:rsidRDefault="000033ED" w:rsidP="005F271D">
            <w:pPr>
              <w:pStyle w:val="BodyTextIndent2"/>
              <w:numPr>
                <w:ilvl w:val="0"/>
                <w:numId w:val="20"/>
              </w:numPr>
              <w:tabs>
                <w:tab w:val="clear" w:pos="720"/>
              </w:tabs>
              <w:ind w:left="482" w:hanging="459"/>
              <w:jc w:val="left"/>
              <w:rPr>
                <w:rFonts w:ascii="Arial" w:hAnsi="Arial" w:cs="Arial"/>
              </w:rPr>
            </w:pPr>
            <w:r>
              <w:rPr>
                <w:rFonts w:ascii="Arial" w:hAnsi="Arial" w:cs="Arial"/>
              </w:rPr>
              <w:t>Confirm the 201</w:t>
            </w:r>
            <w:r w:rsidR="006943BC">
              <w:rPr>
                <w:rFonts w:ascii="Arial" w:hAnsi="Arial" w:cs="Arial"/>
              </w:rPr>
              <w:t>5</w:t>
            </w:r>
            <w:r>
              <w:rPr>
                <w:rFonts w:ascii="Arial" w:hAnsi="Arial" w:cs="Arial"/>
              </w:rPr>
              <w:t>/1</w:t>
            </w:r>
            <w:r w:rsidR="006943BC">
              <w:rPr>
                <w:rFonts w:ascii="Arial" w:hAnsi="Arial" w:cs="Arial"/>
              </w:rPr>
              <w:t>6</w:t>
            </w:r>
            <w:r>
              <w:rPr>
                <w:rFonts w:ascii="Arial" w:hAnsi="Arial" w:cs="Arial"/>
              </w:rPr>
              <w:t xml:space="preserve"> onward</w:t>
            </w:r>
            <w:r w:rsidRPr="007F65E2">
              <w:rPr>
                <w:rFonts w:ascii="Arial" w:hAnsi="Arial" w:cs="Arial"/>
              </w:rPr>
              <w:t xml:space="preserve"> programme</w:t>
            </w:r>
            <w:r w:rsidR="006135B3">
              <w:rPr>
                <w:rFonts w:ascii="Arial" w:hAnsi="Arial" w:cs="Arial"/>
              </w:rPr>
              <w:t>s, set out in</w:t>
            </w:r>
            <w:r>
              <w:rPr>
                <w:rFonts w:ascii="Arial" w:hAnsi="Arial" w:cs="Arial"/>
              </w:rPr>
              <w:t xml:space="preserve"> Appendix </w:t>
            </w:r>
            <w:r w:rsidR="006135B3">
              <w:rPr>
                <w:rFonts w:ascii="Arial" w:hAnsi="Arial" w:cs="Arial"/>
              </w:rPr>
              <w:t xml:space="preserve">A </w:t>
            </w:r>
            <w:r w:rsidRPr="008B2D2D">
              <w:rPr>
                <w:rFonts w:ascii="Arial" w:hAnsi="Arial" w:cs="Arial"/>
              </w:rPr>
              <w:t>(</w:t>
            </w:r>
            <w:r w:rsidR="008B2D2D" w:rsidRPr="008B2D2D">
              <w:rPr>
                <w:rFonts w:ascii="Arial" w:hAnsi="Arial" w:cs="Arial"/>
              </w:rPr>
              <w:t>e</w:t>
            </w:r>
            <w:r w:rsidRPr="008B2D2D">
              <w:rPr>
                <w:rFonts w:ascii="Arial" w:hAnsi="Arial" w:cs="Arial"/>
              </w:rPr>
              <w:t xml:space="preserve">xempt paper </w:t>
            </w:r>
            <w:r w:rsidR="00344740">
              <w:rPr>
                <w:rFonts w:ascii="Arial" w:hAnsi="Arial" w:cs="Arial"/>
              </w:rPr>
              <w:t>13</w:t>
            </w:r>
            <w:r w:rsidRPr="008B2D2D">
              <w:rPr>
                <w:rFonts w:ascii="Arial" w:hAnsi="Arial" w:cs="Arial"/>
              </w:rPr>
              <w:t>),</w:t>
            </w:r>
            <w:r>
              <w:rPr>
                <w:rFonts w:ascii="Arial" w:hAnsi="Arial" w:cs="Arial"/>
              </w:rPr>
              <w:t xml:space="preserve"> </w:t>
            </w:r>
            <w:r w:rsidRPr="007F65E2">
              <w:rPr>
                <w:rFonts w:ascii="Arial" w:hAnsi="Arial" w:cs="Arial"/>
              </w:rPr>
              <w:t>as part of its final precept deliberations</w:t>
            </w:r>
            <w:r>
              <w:rPr>
                <w:rFonts w:ascii="Arial" w:hAnsi="Arial" w:cs="Arial"/>
              </w:rPr>
              <w:t>;</w:t>
            </w:r>
          </w:p>
          <w:p w14:paraId="201715DA" w14:textId="77777777" w:rsidR="000033ED" w:rsidRPr="000033ED" w:rsidRDefault="000033ED" w:rsidP="005F271D">
            <w:pPr>
              <w:pStyle w:val="BodyTextIndent2"/>
              <w:numPr>
                <w:ilvl w:val="0"/>
                <w:numId w:val="20"/>
              </w:numPr>
              <w:tabs>
                <w:tab w:val="clear" w:pos="720"/>
                <w:tab w:val="num" w:pos="590"/>
              </w:tabs>
              <w:ind w:left="482" w:hanging="459"/>
              <w:jc w:val="left"/>
              <w:rPr>
                <w:rFonts w:ascii="Arial" w:hAnsi="Arial" w:cs="Arial"/>
              </w:rPr>
            </w:pPr>
            <w:r>
              <w:rPr>
                <w:rFonts w:ascii="Arial" w:hAnsi="Arial" w:cs="Arial"/>
              </w:rPr>
              <w:t>Approve the Prudential Indicators and the Treasury Strategy for 201</w:t>
            </w:r>
            <w:r w:rsidR="006943BC">
              <w:rPr>
                <w:rFonts w:ascii="Arial" w:hAnsi="Arial" w:cs="Arial"/>
              </w:rPr>
              <w:t>5</w:t>
            </w:r>
            <w:r w:rsidRPr="000033ED">
              <w:rPr>
                <w:rFonts w:ascii="Arial" w:hAnsi="Arial" w:cs="Arial"/>
              </w:rPr>
              <w:t>/1</w:t>
            </w:r>
            <w:r w:rsidR="006943BC">
              <w:rPr>
                <w:rFonts w:ascii="Arial" w:hAnsi="Arial" w:cs="Arial"/>
              </w:rPr>
              <w:t>6</w:t>
            </w:r>
            <w:r w:rsidRPr="000033ED">
              <w:rPr>
                <w:rFonts w:ascii="Arial" w:hAnsi="Arial" w:cs="Arial"/>
              </w:rPr>
              <w:t xml:space="preserve">; </w:t>
            </w:r>
          </w:p>
          <w:p w14:paraId="201715DB" w14:textId="2ADA2B8A" w:rsidR="000033ED" w:rsidRDefault="000033ED" w:rsidP="005F271D">
            <w:pPr>
              <w:pStyle w:val="BodyTextIndent2"/>
              <w:numPr>
                <w:ilvl w:val="0"/>
                <w:numId w:val="20"/>
              </w:numPr>
              <w:tabs>
                <w:tab w:val="clear" w:pos="720"/>
              </w:tabs>
              <w:ind w:left="482" w:hanging="459"/>
              <w:jc w:val="left"/>
              <w:rPr>
                <w:rFonts w:ascii="Arial" w:hAnsi="Arial" w:cs="Arial"/>
              </w:rPr>
            </w:pPr>
            <w:r>
              <w:rPr>
                <w:rFonts w:ascii="Arial" w:hAnsi="Arial" w:cs="Arial"/>
              </w:rPr>
              <w:t>Approve the Minimum Revenue Provision 201</w:t>
            </w:r>
            <w:r w:rsidR="006135B3">
              <w:rPr>
                <w:rFonts w:ascii="Arial" w:hAnsi="Arial" w:cs="Arial"/>
              </w:rPr>
              <w:t>5</w:t>
            </w:r>
            <w:r>
              <w:rPr>
                <w:rFonts w:ascii="Arial" w:hAnsi="Arial" w:cs="Arial"/>
              </w:rPr>
              <w:t>/1</w:t>
            </w:r>
            <w:r w:rsidR="006135B3">
              <w:rPr>
                <w:rFonts w:ascii="Arial" w:hAnsi="Arial" w:cs="Arial"/>
              </w:rPr>
              <w:t>6</w:t>
            </w:r>
            <w:r w:rsidR="005F271D">
              <w:rPr>
                <w:rFonts w:ascii="Arial" w:hAnsi="Arial" w:cs="Arial"/>
              </w:rPr>
              <w:t>; and</w:t>
            </w:r>
          </w:p>
          <w:p w14:paraId="201715DC" w14:textId="77777777" w:rsidR="006943BC" w:rsidRPr="007F65E2" w:rsidRDefault="006943BC" w:rsidP="005F271D">
            <w:pPr>
              <w:pStyle w:val="BodyTextIndent2"/>
              <w:numPr>
                <w:ilvl w:val="0"/>
                <w:numId w:val="20"/>
              </w:numPr>
              <w:tabs>
                <w:tab w:val="clear" w:pos="720"/>
              </w:tabs>
              <w:ind w:left="482" w:hanging="459"/>
              <w:jc w:val="left"/>
              <w:rPr>
                <w:rFonts w:ascii="Arial" w:hAnsi="Arial" w:cs="Arial"/>
              </w:rPr>
            </w:pPr>
            <w:r>
              <w:rPr>
                <w:rFonts w:ascii="Arial" w:hAnsi="Arial" w:cs="Arial"/>
              </w:rPr>
              <w:t>Approve the Treasury Management P</w:t>
            </w:r>
            <w:r w:rsidR="006135B3">
              <w:rPr>
                <w:rFonts w:ascii="Arial" w:hAnsi="Arial" w:cs="Arial"/>
              </w:rPr>
              <w:t>ractices</w:t>
            </w:r>
            <w:r>
              <w:rPr>
                <w:rFonts w:ascii="Arial" w:hAnsi="Arial" w:cs="Arial"/>
              </w:rPr>
              <w:t xml:space="preserve"> and </w:t>
            </w:r>
            <w:r w:rsidR="00542397">
              <w:rPr>
                <w:rFonts w:ascii="Arial" w:hAnsi="Arial" w:cs="Arial"/>
              </w:rPr>
              <w:t>Main Princip</w:t>
            </w:r>
            <w:r w:rsidR="006135B3">
              <w:rPr>
                <w:rFonts w:ascii="Arial" w:hAnsi="Arial" w:cs="Arial"/>
              </w:rPr>
              <w:t>l</w:t>
            </w:r>
            <w:r w:rsidR="00542397">
              <w:rPr>
                <w:rFonts w:ascii="Arial" w:hAnsi="Arial" w:cs="Arial"/>
              </w:rPr>
              <w:t>e</w:t>
            </w:r>
            <w:r w:rsidR="006135B3">
              <w:rPr>
                <w:rFonts w:ascii="Arial" w:hAnsi="Arial" w:cs="Arial"/>
              </w:rPr>
              <w:t>s</w:t>
            </w:r>
            <w:r>
              <w:rPr>
                <w:rFonts w:ascii="Arial" w:hAnsi="Arial" w:cs="Arial"/>
              </w:rPr>
              <w:t xml:space="preserve"> for 2015/16.</w:t>
            </w:r>
          </w:p>
          <w:p w14:paraId="201715DD" w14:textId="77777777" w:rsidR="00591426" w:rsidRDefault="00591426" w:rsidP="00F72E0D"/>
        </w:tc>
      </w:tr>
    </w:tbl>
    <w:p w14:paraId="201715DF" w14:textId="77777777" w:rsidR="00591426" w:rsidRDefault="00591426" w:rsidP="00F72E0D">
      <w:pPr>
        <w:rPr>
          <w:rFonts w:ascii="Arial" w:hAnsi="Arial" w:cs="Arial"/>
        </w:rPr>
      </w:pPr>
    </w:p>
    <w:p w14:paraId="201715E0" w14:textId="77777777" w:rsidR="0095388C" w:rsidRPr="006D45C8" w:rsidRDefault="0095388C" w:rsidP="00F72E0D">
      <w:pPr>
        <w:rPr>
          <w:rFonts w:ascii="Arial" w:hAnsi="Arial" w:cs="Arial"/>
        </w:rPr>
      </w:pPr>
    </w:p>
    <w:p w14:paraId="201715E1" w14:textId="77777777" w:rsidR="007C69B7" w:rsidRDefault="007C69B7" w:rsidP="00F53419">
      <w:pPr>
        <w:pStyle w:val="sssubhead1"/>
      </w:pPr>
      <w:r>
        <w:t>Background</w:t>
      </w:r>
    </w:p>
    <w:p w14:paraId="201715E2" w14:textId="77777777" w:rsidR="007C69B7" w:rsidRPr="00C52185" w:rsidRDefault="007C69B7" w:rsidP="007C69B7">
      <w:pPr>
        <w:pStyle w:val="PlainText"/>
        <w:rPr>
          <w:rFonts w:ascii="Arial" w:hAnsi="Arial" w:cs="Arial"/>
          <w:sz w:val="24"/>
          <w:szCs w:val="24"/>
        </w:rPr>
      </w:pPr>
    </w:p>
    <w:p w14:paraId="201715E3" w14:textId="77777777" w:rsidR="007C69B7" w:rsidRPr="001D0CD6" w:rsidRDefault="007C69B7" w:rsidP="007C69B7">
      <w:pPr>
        <w:ind w:left="720"/>
        <w:rPr>
          <w:rFonts w:ascii="Arial" w:hAnsi="Arial" w:cs="Arial"/>
        </w:rPr>
      </w:pPr>
      <w:r w:rsidRPr="001D0CD6">
        <w:rPr>
          <w:rFonts w:ascii="Arial" w:hAnsi="Arial" w:cs="Arial"/>
        </w:rPr>
        <w:t>Consideration of the future capital programmes must be in the context of producing a balanced budget.  This means that the increases in capital expenditure must be limited by increases in debt charges</w:t>
      </w:r>
      <w:r w:rsidR="008B2D2D">
        <w:rPr>
          <w:rFonts w:ascii="Arial" w:hAnsi="Arial" w:cs="Arial"/>
        </w:rPr>
        <w:t>,</w:t>
      </w:r>
      <w:r w:rsidRPr="001D0CD6">
        <w:rPr>
          <w:rFonts w:ascii="Arial" w:hAnsi="Arial" w:cs="Arial"/>
        </w:rPr>
        <w:t xml:space="preserve"> caused by increased borrowing and increases in running costs from new capital projects.</w:t>
      </w:r>
    </w:p>
    <w:p w14:paraId="201715E4" w14:textId="77777777" w:rsidR="007C69B7" w:rsidRPr="001D0CD6" w:rsidRDefault="007C69B7" w:rsidP="007C69B7">
      <w:pPr>
        <w:ind w:left="720"/>
        <w:rPr>
          <w:rFonts w:ascii="Arial" w:hAnsi="Arial" w:cs="Arial"/>
        </w:rPr>
      </w:pPr>
    </w:p>
    <w:p w14:paraId="201715E5" w14:textId="77777777" w:rsidR="007C69B7" w:rsidRDefault="007C69B7" w:rsidP="007C69B7">
      <w:pPr>
        <w:ind w:left="720"/>
        <w:rPr>
          <w:rFonts w:ascii="Arial" w:hAnsi="Arial" w:cs="Arial"/>
        </w:rPr>
      </w:pPr>
      <w:r w:rsidRPr="001D0CD6">
        <w:rPr>
          <w:rFonts w:ascii="Arial" w:hAnsi="Arial" w:cs="Arial"/>
        </w:rPr>
        <w:t>The Fire Authority must also have regard to the Prudential Code and must set Prudential Indicators for the next three years to ensure that its capital investment plans are affordable, prudent and sustainable</w:t>
      </w:r>
      <w:r>
        <w:rPr>
          <w:rFonts w:ascii="Arial" w:hAnsi="Arial" w:cs="Arial"/>
        </w:rPr>
        <w:t>.</w:t>
      </w:r>
    </w:p>
    <w:p w14:paraId="201715EB" w14:textId="77777777" w:rsidR="00A13231" w:rsidRDefault="00A13231" w:rsidP="007C69B7">
      <w:pPr>
        <w:ind w:left="720"/>
        <w:rPr>
          <w:rFonts w:ascii="Arial" w:hAnsi="Arial" w:cs="Arial"/>
        </w:rPr>
      </w:pPr>
    </w:p>
    <w:p w14:paraId="201715EC" w14:textId="77777777" w:rsidR="007C69B7" w:rsidRPr="0077424A" w:rsidRDefault="007C69B7" w:rsidP="00F53419">
      <w:pPr>
        <w:pStyle w:val="sssubhead1"/>
      </w:pPr>
      <w:r w:rsidRPr="0077424A">
        <w:lastRenderedPageBreak/>
        <w:t>Amendments to the Capital Programme</w:t>
      </w:r>
    </w:p>
    <w:p w14:paraId="201715ED" w14:textId="77777777" w:rsidR="00C358E5" w:rsidRPr="007F65E2" w:rsidRDefault="00C358E5" w:rsidP="00C358E5">
      <w:pPr>
        <w:rPr>
          <w:rFonts w:ascii="Arial" w:hAnsi="Arial" w:cs="Arial"/>
        </w:rPr>
      </w:pPr>
    </w:p>
    <w:p w14:paraId="201715EE" w14:textId="6E7B9016" w:rsidR="00C358E5" w:rsidRPr="00DB7D65" w:rsidRDefault="008B2D2D" w:rsidP="00C358E5">
      <w:pPr>
        <w:pStyle w:val="PlainText"/>
        <w:ind w:left="720"/>
        <w:rPr>
          <w:rFonts w:ascii="Arial" w:hAnsi="Arial" w:cs="Arial"/>
          <w:sz w:val="24"/>
          <w:szCs w:val="24"/>
        </w:rPr>
      </w:pPr>
      <w:r w:rsidRPr="00DB7D65">
        <w:rPr>
          <w:rFonts w:ascii="Arial" w:hAnsi="Arial" w:cs="Arial"/>
          <w:sz w:val="24"/>
          <w:szCs w:val="24"/>
        </w:rPr>
        <w:t>The Capital P</w:t>
      </w:r>
      <w:r w:rsidR="00C358E5" w:rsidRPr="00DB7D65">
        <w:rPr>
          <w:rFonts w:ascii="Arial" w:hAnsi="Arial" w:cs="Arial"/>
          <w:sz w:val="24"/>
          <w:szCs w:val="24"/>
        </w:rPr>
        <w:t>rogramme for 201</w:t>
      </w:r>
      <w:r w:rsidR="00C26C55" w:rsidRPr="00DB7D65">
        <w:rPr>
          <w:rFonts w:ascii="Arial" w:hAnsi="Arial" w:cs="Arial"/>
          <w:sz w:val="24"/>
          <w:szCs w:val="24"/>
        </w:rPr>
        <w:t>5</w:t>
      </w:r>
      <w:r w:rsidR="00C358E5" w:rsidRPr="00DB7D65">
        <w:rPr>
          <w:rFonts w:ascii="Arial" w:hAnsi="Arial" w:cs="Arial"/>
          <w:sz w:val="24"/>
          <w:szCs w:val="24"/>
        </w:rPr>
        <w:t>/1</w:t>
      </w:r>
      <w:r w:rsidR="00C26C55" w:rsidRPr="00DB7D65">
        <w:rPr>
          <w:rFonts w:ascii="Arial" w:hAnsi="Arial" w:cs="Arial"/>
          <w:sz w:val="24"/>
          <w:szCs w:val="24"/>
        </w:rPr>
        <w:t>6</w:t>
      </w:r>
      <w:r w:rsidR="00C358E5" w:rsidRPr="00DB7D65">
        <w:rPr>
          <w:rFonts w:ascii="Arial" w:hAnsi="Arial" w:cs="Arial"/>
          <w:sz w:val="24"/>
          <w:szCs w:val="24"/>
        </w:rPr>
        <w:t xml:space="preserve"> and later years has been reviewed by officers, and some additional schemes have been added since the November meeting. </w:t>
      </w:r>
      <w:r w:rsidR="00071E5B">
        <w:rPr>
          <w:rFonts w:ascii="Arial" w:hAnsi="Arial" w:cs="Arial"/>
          <w:sz w:val="24"/>
          <w:szCs w:val="24"/>
        </w:rPr>
        <w:t xml:space="preserve"> </w:t>
      </w:r>
      <w:r w:rsidR="00C358E5" w:rsidRPr="00DB7D65">
        <w:rPr>
          <w:rFonts w:ascii="Arial" w:hAnsi="Arial" w:cs="Arial"/>
          <w:sz w:val="24"/>
          <w:szCs w:val="24"/>
        </w:rPr>
        <w:t xml:space="preserve">The schemes that require approval are shown in bold italics </w:t>
      </w:r>
      <w:r w:rsidR="006135B3">
        <w:rPr>
          <w:rFonts w:ascii="Arial" w:hAnsi="Arial" w:cs="Arial"/>
          <w:sz w:val="24"/>
          <w:szCs w:val="24"/>
        </w:rPr>
        <w:t>at A</w:t>
      </w:r>
      <w:r w:rsidR="00C358E5" w:rsidRPr="00DB7D65">
        <w:rPr>
          <w:rFonts w:ascii="Arial" w:hAnsi="Arial" w:cs="Arial"/>
          <w:sz w:val="24"/>
          <w:szCs w:val="24"/>
        </w:rPr>
        <w:t>ppendix</w:t>
      </w:r>
      <w:r w:rsidR="006135B3">
        <w:rPr>
          <w:rFonts w:ascii="Arial" w:hAnsi="Arial" w:cs="Arial"/>
          <w:sz w:val="24"/>
          <w:szCs w:val="24"/>
        </w:rPr>
        <w:t xml:space="preserve"> A</w:t>
      </w:r>
      <w:r w:rsidR="00071E5B">
        <w:rPr>
          <w:rFonts w:ascii="Arial" w:hAnsi="Arial" w:cs="Arial"/>
          <w:sz w:val="24"/>
          <w:szCs w:val="24"/>
        </w:rPr>
        <w:t xml:space="preserve">.  </w:t>
      </w:r>
      <w:r w:rsidR="00C26C55" w:rsidRPr="00DB7D65">
        <w:rPr>
          <w:rFonts w:ascii="Arial" w:hAnsi="Arial" w:cs="Arial"/>
          <w:sz w:val="24"/>
          <w:szCs w:val="24"/>
        </w:rPr>
        <w:t>The schedule also provides some background to the proposed schemes, some of which require reviews</w:t>
      </w:r>
      <w:r w:rsidR="00071E5B">
        <w:rPr>
          <w:rFonts w:ascii="Arial" w:hAnsi="Arial" w:cs="Arial"/>
          <w:sz w:val="24"/>
          <w:szCs w:val="24"/>
        </w:rPr>
        <w:t xml:space="preserve"> before</w:t>
      </w:r>
      <w:r w:rsidR="00C26C55" w:rsidRPr="00DB7D65">
        <w:rPr>
          <w:rFonts w:ascii="Arial" w:hAnsi="Arial" w:cs="Arial"/>
          <w:sz w:val="24"/>
          <w:szCs w:val="24"/>
        </w:rPr>
        <w:t xml:space="preserve"> any expenditure is undertaken, and others</w:t>
      </w:r>
      <w:r w:rsidR="00071E5B">
        <w:rPr>
          <w:rFonts w:ascii="Arial" w:hAnsi="Arial" w:cs="Arial"/>
          <w:sz w:val="24"/>
          <w:szCs w:val="24"/>
        </w:rPr>
        <w:t>,</w:t>
      </w:r>
      <w:r w:rsidR="00C26C55" w:rsidRPr="00DB7D65">
        <w:rPr>
          <w:rFonts w:ascii="Arial" w:hAnsi="Arial" w:cs="Arial"/>
          <w:sz w:val="24"/>
          <w:szCs w:val="24"/>
        </w:rPr>
        <w:t xml:space="preserve"> which are replacement items.</w:t>
      </w:r>
    </w:p>
    <w:p w14:paraId="201715EF" w14:textId="77777777" w:rsidR="00C358E5" w:rsidRDefault="00C358E5" w:rsidP="00C358E5">
      <w:pPr>
        <w:pStyle w:val="PlainText"/>
        <w:ind w:left="720"/>
        <w:rPr>
          <w:rFonts w:ascii="Arial" w:hAnsi="Arial" w:cs="Arial"/>
          <w:sz w:val="24"/>
          <w:szCs w:val="24"/>
        </w:rPr>
      </w:pPr>
    </w:p>
    <w:p w14:paraId="201715F0" w14:textId="77777777" w:rsidR="00D573FE" w:rsidRDefault="00D573FE" w:rsidP="00C358E5">
      <w:pPr>
        <w:pStyle w:val="PlainText"/>
        <w:ind w:left="720"/>
        <w:rPr>
          <w:rFonts w:ascii="Arial" w:hAnsi="Arial" w:cs="Arial"/>
          <w:sz w:val="24"/>
          <w:szCs w:val="24"/>
        </w:rPr>
      </w:pPr>
      <w:r>
        <w:rPr>
          <w:rFonts w:ascii="Arial" w:hAnsi="Arial" w:cs="Arial"/>
          <w:sz w:val="24"/>
          <w:szCs w:val="24"/>
        </w:rPr>
        <w:t>As all of the proposed schemes are to be funded from revenue or capital grant, there are no revenue consequences to consider.</w:t>
      </w:r>
    </w:p>
    <w:p w14:paraId="201715F1" w14:textId="77777777" w:rsidR="00D573FE" w:rsidRPr="00DB7D65" w:rsidRDefault="00D573FE" w:rsidP="00C358E5">
      <w:pPr>
        <w:pStyle w:val="PlainText"/>
        <w:ind w:left="720"/>
        <w:rPr>
          <w:rFonts w:ascii="Arial" w:hAnsi="Arial" w:cs="Arial"/>
          <w:sz w:val="24"/>
          <w:szCs w:val="24"/>
        </w:rPr>
      </w:pPr>
    </w:p>
    <w:p w14:paraId="201715F2" w14:textId="77777777" w:rsidR="00C358E5" w:rsidRDefault="00C358E5" w:rsidP="00C358E5">
      <w:pPr>
        <w:pStyle w:val="PlainText"/>
        <w:ind w:left="720"/>
        <w:rPr>
          <w:rFonts w:ascii="Arial" w:hAnsi="Arial" w:cs="Arial"/>
          <w:sz w:val="24"/>
          <w:szCs w:val="24"/>
        </w:rPr>
      </w:pPr>
      <w:r w:rsidRPr="00DB7D65">
        <w:rPr>
          <w:rFonts w:ascii="Arial" w:hAnsi="Arial" w:cs="Arial"/>
          <w:sz w:val="24"/>
          <w:szCs w:val="24"/>
        </w:rPr>
        <w:t>The start dates of a number of schemes, alread</w:t>
      </w:r>
      <w:r w:rsidR="008B2D2D" w:rsidRPr="00DB7D65">
        <w:rPr>
          <w:rFonts w:ascii="Arial" w:hAnsi="Arial" w:cs="Arial"/>
          <w:sz w:val="24"/>
          <w:szCs w:val="24"/>
        </w:rPr>
        <w:t>y approved as part of previous Capital P</w:t>
      </w:r>
      <w:r w:rsidRPr="00DB7D65">
        <w:rPr>
          <w:rFonts w:ascii="Arial" w:hAnsi="Arial" w:cs="Arial"/>
          <w:sz w:val="24"/>
          <w:szCs w:val="24"/>
        </w:rPr>
        <w:t>rogrammes, have been changed following consideration by the Fire</w:t>
      </w:r>
      <w:r w:rsidR="00C52185" w:rsidRPr="00DB7D65">
        <w:rPr>
          <w:rFonts w:ascii="Arial" w:hAnsi="Arial" w:cs="Arial"/>
          <w:sz w:val="24"/>
          <w:szCs w:val="24"/>
        </w:rPr>
        <w:t> </w:t>
      </w:r>
      <w:r w:rsidRPr="00DB7D65">
        <w:rPr>
          <w:rFonts w:ascii="Arial" w:hAnsi="Arial" w:cs="Arial"/>
          <w:sz w:val="24"/>
          <w:szCs w:val="24"/>
        </w:rPr>
        <w:t xml:space="preserve">Authority. </w:t>
      </w:r>
      <w:r w:rsidR="00C52185" w:rsidRPr="00DB7D65">
        <w:rPr>
          <w:rFonts w:ascii="Arial" w:hAnsi="Arial" w:cs="Arial"/>
          <w:sz w:val="24"/>
          <w:szCs w:val="24"/>
        </w:rPr>
        <w:t xml:space="preserve"> </w:t>
      </w:r>
      <w:r w:rsidRPr="00DB7D65">
        <w:rPr>
          <w:rFonts w:ascii="Arial" w:hAnsi="Arial" w:cs="Arial"/>
          <w:sz w:val="24"/>
          <w:szCs w:val="24"/>
        </w:rPr>
        <w:t>Thes</w:t>
      </w:r>
      <w:r w:rsidR="008B2D2D" w:rsidRPr="00DB7D65">
        <w:rPr>
          <w:rFonts w:ascii="Arial" w:hAnsi="Arial" w:cs="Arial"/>
          <w:sz w:val="24"/>
          <w:szCs w:val="24"/>
        </w:rPr>
        <w:t>e schemes are shown within the Capital P</w:t>
      </w:r>
      <w:r w:rsidRPr="00DB7D65">
        <w:rPr>
          <w:rFonts w:ascii="Arial" w:hAnsi="Arial" w:cs="Arial"/>
          <w:sz w:val="24"/>
          <w:szCs w:val="24"/>
        </w:rPr>
        <w:t>rogramme in the appendix to enable</w:t>
      </w:r>
      <w:r w:rsidR="008B2D2D" w:rsidRPr="00DB7D65">
        <w:rPr>
          <w:rFonts w:ascii="Arial" w:hAnsi="Arial" w:cs="Arial"/>
          <w:sz w:val="24"/>
          <w:szCs w:val="24"/>
        </w:rPr>
        <w:t xml:space="preserve"> the Committee to consider the P</w:t>
      </w:r>
      <w:r w:rsidRPr="00DB7D65">
        <w:rPr>
          <w:rFonts w:ascii="Arial" w:hAnsi="Arial" w:cs="Arial"/>
          <w:sz w:val="24"/>
          <w:szCs w:val="24"/>
        </w:rPr>
        <w:t xml:space="preserve">rogramme in its entirety, but approval is not required. </w:t>
      </w:r>
    </w:p>
    <w:p w14:paraId="3A2C2FD0" w14:textId="0F5B1326" w:rsidR="009A25D3" w:rsidRDefault="009A25D3" w:rsidP="00C358E5">
      <w:pPr>
        <w:pStyle w:val="PlainText"/>
        <w:ind w:left="720"/>
        <w:rPr>
          <w:rFonts w:ascii="Arial" w:hAnsi="Arial" w:cs="Arial"/>
          <w:sz w:val="24"/>
          <w:szCs w:val="24"/>
        </w:rPr>
      </w:pPr>
    </w:p>
    <w:p w14:paraId="6338A692" w14:textId="4D2F099D" w:rsidR="009A25D3" w:rsidRDefault="009A25D3" w:rsidP="00C358E5">
      <w:pPr>
        <w:pStyle w:val="PlainText"/>
        <w:ind w:left="720"/>
        <w:rPr>
          <w:rFonts w:ascii="Arial" w:hAnsi="Arial" w:cs="Arial"/>
          <w:sz w:val="24"/>
          <w:szCs w:val="24"/>
        </w:rPr>
      </w:pPr>
      <w:r>
        <w:rPr>
          <w:rFonts w:ascii="Arial" w:hAnsi="Arial" w:cs="Arial"/>
          <w:sz w:val="24"/>
          <w:szCs w:val="24"/>
        </w:rPr>
        <w:t>A review is to be undertaken on the future use of the Stafford Park site in Telford, site of the fire station and training centre.</w:t>
      </w:r>
    </w:p>
    <w:p w14:paraId="76058793" w14:textId="77777777" w:rsidR="009A25D3" w:rsidRDefault="009A25D3" w:rsidP="00C358E5">
      <w:pPr>
        <w:pStyle w:val="PlainText"/>
        <w:ind w:left="720"/>
        <w:rPr>
          <w:rFonts w:ascii="Arial" w:hAnsi="Arial" w:cs="Arial"/>
          <w:sz w:val="24"/>
          <w:szCs w:val="24"/>
        </w:rPr>
      </w:pPr>
    </w:p>
    <w:p w14:paraId="39BCF9C1" w14:textId="2DBA4938" w:rsidR="009A25D3" w:rsidRDefault="009A25D3" w:rsidP="00C358E5">
      <w:pPr>
        <w:pStyle w:val="PlainText"/>
        <w:ind w:left="720"/>
        <w:rPr>
          <w:rFonts w:ascii="Arial" w:hAnsi="Arial" w:cs="Arial"/>
          <w:sz w:val="24"/>
          <w:szCs w:val="24"/>
        </w:rPr>
      </w:pPr>
      <w:r>
        <w:rPr>
          <w:rFonts w:ascii="Arial" w:hAnsi="Arial" w:cs="Arial"/>
          <w:sz w:val="24"/>
          <w:szCs w:val="24"/>
        </w:rPr>
        <w:t>As neither the timing nor the cost of this development can be anticipated, there is no provision in the current capital programme, but recommendations following the review will be presented to the Fire Authority for consideration.</w:t>
      </w:r>
    </w:p>
    <w:p w14:paraId="2CDCCD3C" w14:textId="77777777" w:rsidR="009A25D3" w:rsidRDefault="009A25D3" w:rsidP="00C358E5">
      <w:pPr>
        <w:pStyle w:val="PlainText"/>
        <w:ind w:left="720"/>
        <w:rPr>
          <w:rFonts w:ascii="Arial" w:hAnsi="Arial" w:cs="Arial"/>
          <w:sz w:val="24"/>
          <w:szCs w:val="24"/>
        </w:rPr>
      </w:pPr>
    </w:p>
    <w:p w14:paraId="227872C4" w14:textId="46B5C6CF" w:rsidR="009A25D3" w:rsidRPr="00DB7D65" w:rsidRDefault="009A25D3" w:rsidP="00C358E5">
      <w:pPr>
        <w:pStyle w:val="PlainText"/>
        <w:ind w:left="720"/>
        <w:rPr>
          <w:rFonts w:ascii="Arial" w:hAnsi="Arial" w:cs="Arial"/>
          <w:sz w:val="24"/>
          <w:szCs w:val="24"/>
        </w:rPr>
      </w:pPr>
      <w:r>
        <w:rPr>
          <w:rFonts w:ascii="Arial" w:hAnsi="Arial" w:cs="Arial"/>
          <w:sz w:val="24"/>
          <w:szCs w:val="24"/>
        </w:rPr>
        <w:t>The Fire Authority agreed in October 2014 that future savings would be contributed to the unearmarked Capital Reserve, to fund development of the Stafford Park site.</w:t>
      </w:r>
    </w:p>
    <w:p w14:paraId="201715F3" w14:textId="77777777" w:rsidR="00C60177" w:rsidRDefault="00C60177" w:rsidP="00870317">
      <w:pPr>
        <w:widowControl w:val="0"/>
        <w:rPr>
          <w:rFonts w:ascii="Arial" w:hAnsi="Arial" w:cs="Arial"/>
          <w:snapToGrid w:val="0"/>
          <w:lang w:eastAsia="en-US"/>
        </w:rPr>
      </w:pPr>
    </w:p>
    <w:p w14:paraId="201715F4" w14:textId="77777777" w:rsidR="007C69B7" w:rsidRDefault="007C69B7" w:rsidP="00F53419">
      <w:pPr>
        <w:pStyle w:val="sssubhead1"/>
      </w:pPr>
      <w:r>
        <w:t>Treasury Management Strategy Statement</w:t>
      </w:r>
    </w:p>
    <w:p w14:paraId="201715F5" w14:textId="77777777" w:rsidR="007C69B7" w:rsidRDefault="007C69B7" w:rsidP="007C69B7">
      <w:pPr>
        <w:pStyle w:val="BodyTextIndent"/>
      </w:pPr>
    </w:p>
    <w:p w14:paraId="201715F6" w14:textId="77777777" w:rsidR="007C69B7" w:rsidRPr="00347D2F" w:rsidRDefault="007C69B7" w:rsidP="007C69B7">
      <w:pPr>
        <w:pStyle w:val="BodyText"/>
        <w:ind w:left="720"/>
        <w:jc w:val="left"/>
        <w:rPr>
          <w:rFonts w:ascii="Arial" w:hAnsi="Arial" w:cs="Arial"/>
        </w:rPr>
      </w:pPr>
      <w:r w:rsidRPr="00347D2F">
        <w:rPr>
          <w:rFonts w:ascii="Arial" w:hAnsi="Arial" w:cs="Arial"/>
        </w:rPr>
        <w:t xml:space="preserve">The Local Government Act 2003 requires the </w:t>
      </w:r>
      <w:r>
        <w:rPr>
          <w:rFonts w:ascii="Arial" w:hAnsi="Arial" w:cs="Arial"/>
        </w:rPr>
        <w:t>Authority</w:t>
      </w:r>
      <w:r w:rsidR="008B2D2D">
        <w:rPr>
          <w:rFonts w:ascii="Arial" w:hAnsi="Arial" w:cs="Arial"/>
        </w:rPr>
        <w:t xml:space="preserve"> to set out its Treasury S</w:t>
      </w:r>
      <w:r w:rsidRPr="00347D2F">
        <w:rPr>
          <w:rFonts w:ascii="Arial" w:hAnsi="Arial" w:cs="Arial"/>
        </w:rPr>
        <w:t>trategy for borrowing and to prepare an Annual Investment Strategy (as required by Investment Guidanc</w:t>
      </w:r>
      <w:r>
        <w:rPr>
          <w:rFonts w:ascii="Arial" w:hAnsi="Arial" w:cs="Arial"/>
        </w:rPr>
        <w:t>e issued subsequent to the Act).  T</w:t>
      </w:r>
      <w:r w:rsidRPr="00347D2F">
        <w:rPr>
          <w:rFonts w:ascii="Arial" w:hAnsi="Arial" w:cs="Arial"/>
        </w:rPr>
        <w:t xml:space="preserve">his sets out the </w:t>
      </w:r>
      <w:r>
        <w:rPr>
          <w:rFonts w:ascii="Arial" w:hAnsi="Arial" w:cs="Arial"/>
        </w:rPr>
        <w:t>Authority’s</w:t>
      </w:r>
      <w:r w:rsidRPr="00347D2F">
        <w:rPr>
          <w:rFonts w:ascii="Arial" w:hAnsi="Arial" w:cs="Arial"/>
        </w:rPr>
        <w:t xml:space="preserve"> policies for managing its investments and for giving priority to the security and liquidity of those investments. </w:t>
      </w:r>
    </w:p>
    <w:p w14:paraId="201715F7" w14:textId="77777777" w:rsidR="007C69B7" w:rsidRPr="00347D2F" w:rsidRDefault="007C69B7" w:rsidP="007C69B7">
      <w:pPr>
        <w:pStyle w:val="BodyText"/>
        <w:jc w:val="left"/>
        <w:rPr>
          <w:rFonts w:ascii="Arial" w:hAnsi="Arial" w:cs="Arial"/>
        </w:rPr>
      </w:pPr>
    </w:p>
    <w:p w14:paraId="201715F8" w14:textId="59811780" w:rsidR="007C69B7" w:rsidRDefault="007C69B7" w:rsidP="007C69B7">
      <w:pPr>
        <w:widowControl w:val="0"/>
        <w:ind w:left="720"/>
        <w:rPr>
          <w:rFonts w:ascii="Arial" w:hAnsi="Arial" w:cs="Arial"/>
          <w:snapToGrid w:val="0"/>
          <w:lang w:eastAsia="en-US"/>
        </w:rPr>
      </w:pPr>
      <w:r w:rsidRPr="005B42BA">
        <w:rPr>
          <w:rFonts w:ascii="Arial" w:hAnsi="Arial" w:cs="Arial"/>
          <w:snapToGrid w:val="0"/>
          <w:lang w:eastAsia="en-US"/>
        </w:rPr>
        <w:t xml:space="preserve">The Fire Authority employs Shropshire Council </w:t>
      </w:r>
      <w:r w:rsidR="00071E5B">
        <w:rPr>
          <w:rFonts w:ascii="Arial" w:hAnsi="Arial" w:cs="Arial"/>
          <w:snapToGrid w:val="0"/>
          <w:lang w:eastAsia="en-US"/>
        </w:rPr>
        <w:t>to manage its treasury f</w:t>
      </w:r>
      <w:r w:rsidRPr="005B42BA">
        <w:rPr>
          <w:rFonts w:ascii="Arial" w:hAnsi="Arial" w:cs="Arial"/>
          <w:snapToGrid w:val="0"/>
          <w:lang w:eastAsia="en-US"/>
        </w:rPr>
        <w:t xml:space="preserve">unctions, who in turn have appointed </w:t>
      </w:r>
      <w:r w:rsidR="00C26C55">
        <w:rPr>
          <w:rFonts w:ascii="Arial" w:hAnsi="Arial" w:cs="Arial"/>
          <w:snapToGrid w:val="0"/>
          <w:lang w:eastAsia="en-US"/>
        </w:rPr>
        <w:t>Capita</w:t>
      </w:r>
      <w:r w:rsidRPr="005B42BA">
        <w:rPr>
          <w:rFonts w:ascii="Arial" w:hAnsi="Arial" w:cs="Arial"/>
          <w:snapToGrid w:val="0"/>
          <w:lang w:eastAsia="en-US"/>
        </w:rPr>
        <w:t xml:space="preserve"> Treasury Services as their </w:t>
      </w:r>
      <w:r>
        <w:rPr>
          <w:rFonts w:ascii="Arial" w:hAnsi="Arial" w:cs="Arial"/>
          <w:snapToGrid w:val="0"/>
          <w:lang w:eastAsia="en-US"/>
        </w:rPr>
        <w:t xml:space="preserve">independent </w:t>
      </w:r>
      <w:r w:rsidRPr="005B42BA">
        <w:rPr>
          <w:rFonts w:ascii="Arial" w:hAnsi="Arial" w:cs="Arial"/>
          <w:snapToGrid w:val="0"/>
          <w:lang w:eastAsia="en-US"/>
        </w:rPr>
        <w:t>advisor.</w:t>
      </w:r>
    </w:p>
    <w:p w14:paraId="201715F9" w14:textId="77777777" w:rsidR="007C69B7" w:rsidRPr="00B72AC1" w:rsidRDefault="007C69B7" w:rsidP="007C69B7">
      <w:pPr>
        <w:pStyle w:val="BodyTextIndent"/>
      </w:pPr>
    </w:p>
    <w:p w14:paraId="201715FA" w14:textId="77777777" w:rsidR="005C7E9B" w:rsidRPr="0003686F" w:rsidRDefault="005C7E9B" w:rsidP="00F53419">
      <w:pPr>
        <w:pStyle w:val="sssubhead1"/>
      </w:pPr>
      <w:r w:rsidRPr="0003686F">
        <w:t>Prudential Guidelines</w:t>
      </w:r>
    </w:p>
    <w:p w14:paraId="201715FB" w14:textId="77777777" w:rsidR="005C7E9B" w:rsidRPr="007F65E2" w:rsidRDefault="005C7E9B" w:rsidP="005C7E9B">
      <w:pPr>
        <w:widowControl w:val="0"/>
        <w:rPr>
          <w:rFonts w:ascii="Arial" w:hAnsi="Arial" w:cs="Arial"/>
          <w:snapToGrid w:val="0"/>
          <w:lang w:eastAsia="en-US"/>
        </w:rPr>
      </w:pPr>
    </w:p>
    <w:p w14:paraId="201715FC" w14:textId="77777777" w:rsidR="005C7E9B" w:rsidRDefault="005C7E9B" w:rsidP="005C7E9B">
      <w:pPr>
        <w:pStyle w:val="BodyText"/>
        <w:ind w:left="720"/>
        <w:jc w:val="left"/>
        <w:rPr>
          <w:rFonts w:ascii="Arial" w:hAnsi="Arial" w:cs="Arial"/>
        </w:rPr>
      </w:pPr>
      <w:r w:rsidRPr="007F65E2">
        <w:rPr>
          <w:rFonts w:ascii="Arial" w:hAnsi="Arial" w:cs="Arial"/>
          <w:snapToGrid w:val="0"/>
        </w:rPr>
        <w:t xml:space="preserve">The Act </w:t>
      </w:r>
      <w:r w:rsidRPr="00347D2F">
        <w:rPr>
          <w:rFonts w:ascii="Arial" w:hAnsi="Arial" w:cs="Arial"/>
        </w:rPr>
        <w:t xml:space="preserve">requires the </w:t>
      </w:r>
      <w:r>
        <w:rPr>
          <w:rFonts w:ascii="Arial" w:hAnsi="Arial" w:cs="Arial"/>
        </w:rPr>
        <w:t>Authority</w:t>
      </w:r>
      <w:r w:rsidRPr="00347D2F">
        <w:rPr>
          <w:rFonts w:ascii="Arial" w:hAnsi="Arial" w:cs="Arial"/>
        </w:rPr>
        <w:t xml:space="preserve"> to ‘have regard to’ the Prudential Code </w:t>
      </w:r>
      <w:r w:rsidRPr="007F65E2">
        <w:rPr>
          <w:rFonts w:ascii="Arial" w:hAnsi="Arial" w:cs="Arial"/>
          <w:snapToGrid w:val="0"/>
        </w:rPr>
        <w:t>for Capital Finance in Local Authorities</w:t>
      </w:r>
      <w:r w:rsidRPr="00347D2F">
        <w:rPr>
          <w:rFonts w:ascii="Arial" w:hAnsi="Arial" w:cs="Arial"/>
        </w:rPr>
        <w:t xml:space="preserve"> and to set Prudential Indicators for the next three years to ensure that the </w:t>
      </w:r>
      <w:r>
        <w:rPr>
          <w:rFonts w:ascii="Arial" w:hAnsi="Arial" w:cs="Arial"/>
        </w:rPr>
        <w:t>Authority</w:t>
      </w:r>
      <w:r w:rsidRPr="00347D2F">
        <w:rPr>
          <w:rFonts w:ascii="Arial" w:hAnsi="Arial" w:cs="Arial"/>
        </w:rPr>
        <w:t xml:space="preserve">’s capital investment plans are affordable, prudent and sustainable.  </w:t>
      </w:r>
    </w:p>
    <w:p w14:paraId="201715FD" w14:textId="77777777" w:rsidR="005C7E9B" w:rsidRPr="00347D2F" w:rsidRDefault="005C7E9B" w:rsidP="005C7E9B">
      <w:pPr>
        <w:pStyle w:val="BodyText"/>
        <w:ind w:left="720"/>
        <w:jc w:val="left"/>
        <w:rPr>
          <w:rFonts w:ascii="Arial" w:hAnsi="Arial" w:cs="Arial"/>
        </w:rPr>
      </w:pPr>
    </w:p>
    <w:p w14:paraId="201715FE" w14:textId="77777777" w:rsidR="005C7E9B" w:rsidRPr="007F65E2" w:rsidRDefault="005C7E9B" w:rsidP="005C7E9B">
      <w:pPr>
        <w:widowControl w:val="0"/>
        <w:ind w:left="720"/>
        <w:rPr>
          <w:rFonts w:ascii="Arial" w:hAnsi="Arial" w:cs="Arial"/>
          <w:snapToGrid w:val="0"/>
          <w:lang w:eastAsia="en-US"/>
        </w:rPr>
      </w:pPr>
      <w:r w:rsidRPr="007F65E2">
        <w:rPr>
          <w:rFonts w:ascii="Arial" w:hAnsi="Arial" w:cs="Arial"/>
          <w:snapToGrid w:val="0"/>
          <w:lang w:eastAsia="en-US"/>
        </w:rPr>
        <w:t>The key issue is to ensure that the revenue consequences of the proposed investment will not lead to unacc</w:t>
      </w:r>
      <w:r>
        <w:rPr>
          <w:rFonts w:ascii="Arial" w:hAnsi="Arial" w:cs="Arial"/>
          <w:snapToGrid w:val="0"/>
          <w:lang w:eastAsia="en-US"/>
        </w:rPr>
        <w:t>eptable financial pressures</w:t>
      </w:r>
      <w:r w:rsidRPr="007F65E2">
        <w:rPr>
          <w:rFonts w:ascii="Arial" w:hAnsi="Arial" w:cs="Arial"/>
          <w:snapToGrid w:val="0"/>
          <w:lang w:eastAsia="en-US"/>
        </w:rPr>
        <w:t xml:space="preserve"> in later years.  </w:t>
      </w:r>
    </w:p>
    <w:p w14:paraId="20171600" w14:textId="4AD9ED16" w:rsidR="005C7E9B" w:rsidRDefault="005C7E9B" w:rsidP="005C7E9B">
      <w:pPr>
        <w:widowControl w:val="0"/>
        <w:ind w:left="720" w:right="29"/>
        <w:rPr>
          <w:rFonts w:ascii="Arial" w:hAnsi="Arial" w:cs="Arial"/>
          <w:snapToGrid w:val="0"/>
          <w:lang w:eastAsia="en-US"/>
        </w:rPr>
      </w:pPr>
      <w:r>
        <w:rPr>
          <w:rFonts w:ascii="Arial" w:hAnsi="Arial" w:cs="Arial"/>
          <w:snapToGrid w:val="0"/>
          <w:lang w:eastAsia="en-US"/>
        </w:rPr>
        <w:lastRenderedPageBreak/>
        <w:t>A summary of the prudential indicators for the budget period is shown</w:t>
      </w:r>
      <w:r w:rsidR="008B2D2D">
        <w:rPr>
          <w:rFonts w:ascii="Arial" w:hAnsi="Arial" w:cs="Arial"/>
          <w:snapToGrid w:val="0"/>
          <w:lang w:eastAsia="en-US"/>
        </w:rPr>
        <w:t xml:space="preserve"> </w:t>
      </w:r>
      <w:r w:rsidR="00973CB6">
        <w:rPr>
          <w:rFonts w:ascii="Arial" w:hAnsi="Arial" w:cs="Arial"/>
          <w:snapToGrid w:val="0"/>
          <w:lang w:eastAsia="en-US"/>
        </w:rPr>
        <w:t>below</w:t>
      </w:r>
      <w:r>
        <w:rPr>
          <w:rFonts w:ascii="Arial" w:hAnsi="Arial" w:cs="Arial"/>
          <w:snapToGrid w:val="0"/>
          <w:lang w:eastAsia="en-US"/>
        </w:rPr>
        <w:t>.</w:t>
      </w:r>
    </w:p>
    <w:p w14:paraId="20171601" w14:textId="5EDB5A70" w:rsidR="008B2D2D" w:rsidRDefault="008B2D2D">
      <w:pPr>
        <w:rPr>
          <w:rFonts w:ascii="Arial" w:hAnsi="Arial" w:cs="Arial"/>
          <w:snapToGrid w:val="0"/>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134"/>
        <w:gridCol w:w="1134"/>
        <w:gridCol w:w="1134"/>
      </w:tblGrid>
      <w:tr w:rsidR="005C7E9B" w:rsidRPr="00A35576" w14:paraId="2017160A" w14:textId="77777777" w:rsidTr="00D44BFE">
        <w:trPr>
          <w:trHeight w:val="340"/>
        </w:trPr>
        <w:tc>
          <w:tcPr>
            <w:tcW w:w="5245" w:type="dxa"/>
            <w:vAlign w:val="center"/>
          </w:tcPr>
          <w:p w14:paraId="20171602" w14:textId="77777777" w:rsidR="005C7E9B" w:rsidRPr="00C52185" w:rsidRDefault="005C7E9B" w:rsidP="00C52185">
            <w:pPr>
              <w:widowControl w:val="0"/>
              <w:ind w:right="29"/>
              <w:rPr>
                <w:rFonts w:ascii="Arial" w:hAnsi="Arial" w:cs="Arial"/>
                <w:b/>
                <w:snapToGrid w:val="0"/>
                <w:lang w:eastAsia="en-US"/>
              </w:rPr>
            </w:pPr>
            <w:r w:rsidRPr="00C52185">
              <w:rPr>
                <w:rFonts w:ascii="Arial" w:hAnsi="Arial" w:cs="Arial"/>
                <w:b/>
                <w:snapToGrid w:val="0"/>
                <w:lang w:eastAsia="en-US"/>
              </w:rPr>
              <w:t>Prudential Indicator</w:t>
            </w:r>
          </w:p>
        </w:tc>
        <w:tc>
          <w:tcPr>
            <w:tcW w:w="1134" w:type="dxa"/>
          </w:tcPr>
          <w:p w14:paraId="20171603" w14:textId="77777777" w:rsidR="005C7E9B" w:rsidRPr="00C52185" w:rsidRDefault="005C7E9B" w:rsidP="00047B1F">
            <w:pPr>
              <w:widowControl w:val="0"/>
              <w:ind w:right="29"/>
              <w:jc w:val="right"/>
              <w:rPr>
                <w:rFonts w:ascii="Arial" w:hAnsi="Arial" w:cs="Arial"/>
                <w:b/>
                <w:snapToGrid w:val="0"/>
                <w:lang w:eastAsia="en-US"/>
              </w:rPr>
            </w:pPr>
            <w:r w:rsidRPr="00C52185">
              <w:rPr>
                <w:rFonts w:ascii="Arial" w:hAnsi="Arial" w:cs="Arial"/>
                <w:b/>
                <w:snapToGrid w:val="0"/>
                <w:lang w:eastAsia="en-US"/>
              </w:rPr>
              <w:t>201</w:t>
            </w:r>
            <w:r w:rsidR="00E22F63">
              <w:rPr>
                <w:rFonts w:ascii="Arial" w:hAnsi="Arial" w:cs="Arial"/>
                <w:b/>
                <w:snapToGrid w:val="0"/>
                <w:lang w:eastAsia="en-US"/>
              </w:rPr>
              <w:t>4</w:t>
            </w:r>
            <w:r w:rsidRPr="00C52185">
              <w:rPr>
                <w:rFonts w:ascii="Arial" w:hAnsi="Arial" w:cs="Arial"/>
                <w:b/>
                <w:snapToGrid w:val="0"/>
                <w:lang w:eastAsia="en-US"/>
              </w:rPr>
              <w:t>/1</w:t>
            </w:r>
            <w:r w:rsidR="00E22F63">
              <w:rPr>
                <w:rFonts w:ascii="Arial" w:hAnsi="Arial" w:cs="Arial"/>
                <w:b/>
                <w:snapToGrid w:val="0"/>
                <w:lang w:eastAsia="en-US"/>
              </w:rPr>
              <w:t>5</w:t>
            </w:r>
          </w:p>
          <w:p w14:paraId="20171604" w14:textId="77777777" w:rsidR="005C7E9B" w:rsidRPr="00C52185" w:rsidRDefault="005C7E9B" w:rsidP="00047B1F">
            <w:pPr>
              <w:widowControl w:val="0"/>
              <w:ind w:right="29"/>
              <w:jc w:val="right"/>
              <w:rPr>
                <w:rFonts w:ascii="Arial" w:hAnsi="Arial" w:cs="Arial"/>
                <w:b/>
                <w:snapToGrid w:val="0"/>
                <w:lang w:eastAsia="en-US"/>
              </w:rPr>
            </w:pPr>
            <w:r w:rsidRPr="00C52185">
              <w:rPr>
                <w:rFonts w:ascii="Arial" w:hAnsi="Arial" w:cs="Arial"/>
                <w:b/>
                <w:snapToGrid w:val="0"/>
                <w:lang w:eastAsia="en-US"/>
              </w:rPr>
              <w:t>£000</w:t>
            </w:r>
          </w:p>
        </w:tc>
        <w:tc>
          <w:tcPr>
            <w:tcW w:w="1134" w:type="dxa"/>
          </w:tcPr>
          <w:p w14:paraId="7788D49A" w14:textId="77777777" w:rsidR="00D44BFE" w:rsidRDefault="005C7E9B" w:rsidP="00D44BFE">
            <w:pPr>
              <w:widowControl w:val="0"/>
              <w:ind w:right="29"/>
              <w:jc w:val="right"/>
              <w:rPr>
                <w:rFonts w:ascii="Arial" w:hAnsi="Arial" w:cs="Arial"/>
                <w:b/>
                <w:snapToGrid w:val="0"/>
                <w:lang w:eastAsia="en-US"/>
              </w:rPr>
            </w:pPr>
            <w:r w:rsidRPr="00C52185">
              <w:rPr>
                <w:rFonts w:ascii="Arial" w:hAnsi="Arial" w:cs="Arial"/>
                <w:b/>
                <w:snapToGrid w:val="0"/>
                <w:lang w:eastAsia="en-US"/>
              </w:rPr>
              <w:t>201</w:t>
            </w:r>
            <w:r w:rsidR="00E22F63">
              <w:rPr>
                <w:rFonts w:ascii="Arial" w:hAnsi="Arial" w:cs="Arial"/>
                <w:b/>
                <w:snapToGrid w:val="0"/>
                <w:lang w:eastAsia="en-US"/>
              </w:rPr>
              <w:t>5</w:t>
            </w:r>
            <w:r w:rsidRPr="00C52185">
              <w:rPr>
                <w:rFonts w:ascii="Arial" w:hAnsi="Arial" w:cs="Arial"/>
                <w:b/>
                <w:snapToGrid w:val="0"/>
                <w:lang w:eastAsia="en-US"/>
              </w:rPr>
              <w:t>/1</w:t>
            </w:r>
            <w:r w:rsidR="00E22F63">
              <w:rPr>
                <w:rFonts w:ascii="Arial" w:hAnsi="Arial" w:cs="Arial"/>
                <w:b/>
                <w:snapToGrid w:val="0"/>
                <w:lang w:eastAsia="en-US"/>
              </w:rPr>
              <w:t>6</w:t>
            </w:r>
          </w:p>
          <w:p w14:paraId="20171605" w14:textId="5751075D" w:rsidR="005C7E9B" w:rsidRPr="00C52185" w:rsidRDefault="00D44BFE" w:rsidP="00D44BFE">
            <w:pPr>
              <w:widowControl w:val="0"/>
              <w:ind w:right="29"/>
              <w:jc w:val="right"/>
              <w:rPr>
                <w:rFonts w:ascii="Arial" w:hAnsi="Arial" w:cs="Arial"/>
                <w:b/>
                <w:snapToGrid w:val="0"/>
                <w:lang w:eastAsia="en-US"/>
              </w:rPr>
            </w:pPr>
            <w:r>
              <w:rPr>
                <w:rFonts w:ascii="Arial" w:hAnsi="Arial" w:cs="Arial"/>
                <w:b/>
                <w:snapToGrid w:val="0"/>
                <w:lang w:eastAsia="en-US"/>
              </w:rPr>
              <w:t>£</w:t>
            </w:r>
            <w:r w:rsidR="005C7E9B" w:rsidRPr="00C52185">
              <w:rPr>
                <w:rFonts w:ascii="Arial" w:hAnsi="Arial" w:cs="Arial"/>
                <w:b/>
                <w:snapToGrid w:val="0"/>
                <w:lang w:eastAsia="en-US"/>
              </w:rPr>
              <w:t>000</w:t>
            </w:r>
          </w:p>
        </w:tc>
        <w:tc>
          <w:tcPr>
            <w:tcW w:w="1134" w:type="dxa"/>
          </w:tcPr>
          <w:p w14:paraId="20171606" w14:textId="77777777" w:rsidR="005C7E9B" w:rsidRPr="00C52185" w:rsidRDefault="005C7E9B" w:rsidP="00047B1F">
            <w:pPr>
              <w:widowControl w:val="0"/>
              <w:ind w:right="29"/>
              <w:jc w:val="right"/>
              <w:rPr>
                <w:rFonts w:ascii="Arial" w:hAnsi="Arial" w:cs="Arial"/>
                <w:b/>
                <w:snapToGrid w:val="0"/>
                <w:lang w:eastAsia="en-US"/>
              </w:rPr>
            </w:pPr>
            <w:r w:rsidRPr="00C52185">
              <w:rPr>
                <w:rFonts w:ascii="Arial" w:hAnsi="Arial" w:cs="Arial"/>
                <w:b/>
                <w:snapToGrid w:val="0"/>
                <w:lang w:eastAsia="en-US"/>
              </w:rPr>
              <w:t>201</w:t>
            </w:r>
            <w:r w:rsidR="00E22F63">
              <w:rPr>
                <w:rFonts w:ascii="Arial" w:hAnsi="Arial" w:cs="Arial"/>
                <w:b/>
                <w:snapToGrid w:val="0"/>
                <w:lang w:eastAsia="en-US"/>
              </w:rPr>
              <w:t>6</w:t>
            </w:r>
            <w:r w:rsidRPr="00C52185">
              <w:rPr>
                <w:rFonts w:ascii="Arial" w:hAnsi="Arial" w:cs="Arial"/>
                <w:b/>
                <w:snapToGrid w:val="0"/>
                <w:lang w:eastAsia="en-US"/>
              </w:rPr>
              <w:t>/1</w:t>
            </w:r>
            <w:r w:rsidR="00E22F63">
              <w:rPr>
                <w:rFonts w:ascii="Arial" w:hAnsi="Arial" w:cs="Arial"/>
                <w:b/>
                <w:snapToGrid w:val="0"/>
                <w:lang w:eastAsia="en-US"/>
              </w:rPr>
              <w:t>7</w:t>
            </w:r>
          </w:p>
          <w:p w14:paraId="20171607" w14:textId="358D44F1" w:rsidR="005C7E9B" w:rsidRPr="00C52185" w:rsidRDefault="005C7E9B" w:rsidP="00D44BFE">
            <w:pPr>
              <w:widowControl w:val="0"/>
              <w:ind w:right="29"/>
              <w:jc w:val="right"/>
              <w:rPr>
                <w:rFonts w:ascii="Arial" w:hAnsi="Arial" w:cs="Arial"/>
                <w:b/>
                <w:snapToGrid w:val="0"/>
                <w:lang w:eastAsia="en-US"/>
              </w:rPr>
            </w:pPr>
            <w:r w:rsidRPr="00C52185">
              <w:rPr>
                <w:rFonts w:ascii="Arial" w:hAnsi="Arial" w:cs="Arial"/>
                <w:b/>
                <w:snapToGrid w:val="0"/>
                <w:lang w:eastAsia="en-US"/>
              </w:rPr>
              <w:t>£000</w:t>
            </w:r>
          </w:p>
        </w:tc>
        <w:tc>
          <w:tcPr>
            <w:tcW w:w="1134" w:type="dxa"/>
          </w:tcPr>
          <w:p w14:paraId="20171608" w14:textId="77777777" w:rsidR="005C7E9B" w:rsidRPr="00C52185" w:rsidRDefault="005C7E9B" w:rsidP="00047B1F">
            <w:pPr>
              <w:widowControl w:val="0"/>
              <w:ind w:right="29"/>
              <w:jc w:val="right"/>
              <w:rPr>
                <w:rFonts w:ascii="Arial" w:hAnsi="Arial" w:cs="Arial"/>
                <w:b/>
                <w:snapToGrid w:val="0"/>
                <w:lang w:eastAsia="en-US"/>
              </w:rPr>
            </w:pPr>
            <w:r w:rsidRPr="00C52185">
              <w:rPr>
                <w:rFonts w:ascii="Arial" w:hAnsi="Arial" w:cs="Arial"/>
                <w:b/>
                <w:snapToGrid w:val="0"/>
                <w:lang w:eastAsia="en-US"/>
              </w:rPr>
              <w:t>201</w:t>
            </w:r>
            <w:r w:rsidR="00E22F63">
              <w:rPr>
                <w:rFonts w:ascii="Arial" w:hAnsi="Arial" w:cs="Arial"/>
                <w:b/>
                <w:snapToGrid w:val="0"/>
                <w:lang w:eastAsia="en-US"/>
              </w:rPr>
              <w:t>7</w:t>
            </w:r>
            <w:r w:rsidRPr="00C52185">
              <w:rPr>
                <w:rFonts w:ascii="Arial" w:hAnsi="Arial" w:cs="Arial"/>
                <w:b/>
                <w:snapToGrid w:val="0"/>
                <w:lang w:eastAsia="en-US"/>
              </w:rPr>
              <w:t>/1</w:t>
            </w:r>
            <w:r w:rsidR="00E22F63">
              <w:rPr>
                <w:rFonts w:ascii="Arial" w:hAnsi="Arial" w:cs="Arial"/>
                <w:b/>
                <w:snapToGrid w:val="0"/>
                <w:lang w:eastAsia="en-US"/>
              </w:rPr>
              <w:t>8</w:t>
            </w:r>
          </w:p>
          <w:p w14:paraId="20171609" w14:textId="19EBDC5D" w:rsidR="005C7E9B" w:rsidRPr="00C52185" w:rsidRDefault="005C7E9B" w:rsidP="00D44BFE">
            <w:pPr>
              <w:widowControl w:val="0"/>
              <w:ind w:right="29"/>
              <w:jc w:val="right"/>
              <w:rPr>
                <w:rFonts w:ascii="Arial" w:hAnsi="Arial" w:cs="Arial"/>
                <w:b/>
                <w:snapToGrid w:val="0"/>
                <w:lang w:eastAsia="en-US"/>
              </w:rPr>
            </w:pPr>
            <w:r w:rsidRPr="00C52185">
              <w:rPr>
                <w:rFonts w:ascii="Arial" w:hAnsi="Arial" w:cs="Arial"/>
                <w:b/>
                <w:snapToGrid w:val="0"/>
                <w:lang w:eastAsia="en-US"/>
              </w:rPr>
              <w:t>£000</w:t>
            </w:r>
          </w:p>
        </w:tc>
      </w:tr>
      <w:tr w:rsidR="00E22F63" w:rsidRPr="00A35576" w14:paraId="20171610" w14:textId="77777777" w:rsidTr="00D44BFE">
        <w:trPr>
          <w:trHeight w:val="340"/>
        </w:trPr>
        <w:tc>
          <w:tcPr>
            <w:tcW w:w="5245" w:type="dxa"/>
            <w:vAlign w:val="center"/>
          </w:tcPr>
          <w:p w14:paraId="2017160B" w14:textId="77777777" w:rsidR="00E22F63" w:rsidRPr="00C52185" w:rsidRDefault="00E22F63" w:rsidP="00E22F63">
            <w:pPr>
              <w:widowControl w:val="0"/>
              <w:ind w:right="29"/>
              <w:rPr>
                <w:rFonts w:ascii="Arial" w:hAnsi="Arial" w:cs="Arial"/>
                <w:snapToGrid w:val="0"/>
                <w:lang w:eastAsia="en-US"/>
              </w:rPr>
            </w:pPr>
            <w:r w:rsidRPr="00C52185">
              <w:rPr>
                <w:rFonts w:ascii="Arial" w:hAnsi="Arial" w:cs="Arial"/>
                <w:snapToGrid w:val="0"/>
                <w:lang w:eastAsia="en-US"/>
              </w:rPr>
              <w:t>Capital Financing Requirement (CFR)</w:t>
            </w:r>
          </w:p>
        </w:tc>
        <w:tc>
          <w:tcPr>
            <w:tcW w:w="1134" w:type="dxa"/>
            <w:vAlign w:val="center"/>
          </w:tcPr>
          <w:p w14:paraId="2017160C" w14:textId="77777777" w:rsidR="00E22F63" w:rsidRPr="00C52185" w:rsidRDefault="00DB7D65" w:rsidP="00DB7D65">
            <w:pPr>
              <w:widowControl w:val="0"/>
              <w:ind w:right="29"/>
              <w:jc w:val="right"/>
              <w:rPr>
                <w:rFonts w:ascii="Arial" w:hAnsi="Arial" w:cs="Arial"/>
                <w:snapToGrid w:val="0"/>
                <w:lang w:eastAsia="en-US"/>
              </w:rPr>
            </w:pPr>
            <w:r>
              <w:rPr>
                <w:rFonts w:ascii="Arial" w:hAnsi="Arial" w:cs="Arial"/>
                <w:snapToGrid w:val="0"/>
                <w:lang w:eastAsia="en-US"/>
              </w:rPr>
              <w:t>4,450</w:t>
            </w:r>
          </w:p>
        </w:tc>
        <w:tc>
          <w:tcPr>
            <w:tcW w:w="1134" w:type="dxa"/>
            <w:vAlign w:val="center"/>
          </w:tcPr>
          <w:p w14:paraId="2017160D" w14:textId="77777777" w:rsidR="00E22F63" w:rsidRPr="00C52185" w:rsidRDefault="00DB7D65" w:rsidP="00E22F63">
            <w:pPr>
              <w:widowControl w:val="0"/>
              <w:ind w:right="29"/>
              <w:jc w:val="right"/>
              <w:rPr>
                <w:rFonts w:ascii="Arial" w:hAnsi="Arial" w:cs="Arial"/>
                <w:snapToGrid w:val="0"/>
                <w:lang w:eastAsia="en-US"/>
              </w:rPr>
            </w:pPr>
            <w:r>
              <w:rPr>
                <w:rFonts w:ascii="Arial" w:hAnsi="Arial" w:cs="Arial"/>
                <w:snapToGrid w:val="0"/>
                <w:lang w:eastAsia="en-US"/>
              </w:rPr>
              <w:t>4,166</w:t>
            </w:r>
          </w:p>
        </w:tc>
        <w:tc>
          <w:tcPr>
            <w:tcW w:w="1134" w:type="dxa"/>
            <w:vAlign w:val="center"/>
          </w:tcPr>
          <w:p w14:paraId="2017160E" w14:textId="77777777" w:rsidR="00E22F63" w:rsidRPr="00C52185" w:rsidRDefault="00DB7D65" w:rsidP="00E22F63">
            <w:pPr>
              <w:widowControl w:val="0"/>
              <w:ind w:right="29"/>
              <w:jc w:val="right"/>
              <w:rPr>
                <w:rFonts w:ascii="Arial" w:hAnsi="Arial" w:cs="Arial"/>
                <w:snapToGrid w:val="0"/>
                <w:lang w:eastAsia="en-US"/>
              </w:rPr>
            </w:pPr>
            <w:r>
              <w:rPr>
                <w:rFonts w:ascii="Arial" w:hAnsi="Arial" w:cs="Arial"/>
                <w:snapToGrid w:val="0"/>
                <w:lang w:eastAsia="en-US"/>
              </w:rPr>
              <w:t>3,888</w:t>
            </w:r>
          </w:p>
        </w:tc>
        <w:tc>
          <w:tcPr>
            <w:tcW w:w="1134" w:type="dxa"/>
            <w:vAlign w:val="center"/>
          </w:tcPr>
          <w:p w14:paraId="2017160F" w14:textId="77777777" w:rsidR="00E22F63" w:rsidRPr="00C52185" w:rsidRDefault="00DB7D65" w:rsidP="00E22F63">
            <w:pPr>
              <w:widowControl w:val="0"/>
              <w:ind w:right="29"/>
              <w:jc w:val="right"/>
              <w:rPr>
                <w:rFonts w:ascii="Arial" w:hAnsi="Arial" w:cs="Arial"/>
                <w:snapToGrid w:val="0"/>
                <w:lang w:eastAsia="en-US"/>
              </w:rPr>
            </w:pPr>
            <w:r>
              <w:rPr>
                <w:rFonts w:ascii="Arial" w:hAnsi="Arial" w:cs="Arial"/>
                <w:snapToGrid w:val="0"/>
                <w:lang w:eastAsia="en-US"/>
              </w:rPr>
              <w:t>3,617</w:t>
            </w:r>
          </w:p>
        </w:tc>
      </w:tr>
      <w:tr w:rsidR="00E22F63" w:rsidRPr="00A35576" w14:paraId="20171616" w14:textId="77777777" w:rsidTr="00D44BFE">
        <w:trPr>
          <w:trHeight w:val="340"/>
        </w:trPr>
        <w:tc>
          <w:tcPr>
            <w:tcW w:w="5245" w:type="dxa"/>
            <w:vAlign w:val="center"/>
          </w:tcPr>
          <w:p w14:paraId="20171611" w14:textId="77777777" w:rsidR="00E22F63" w:rsidRPr="00C52185" w:rsidRDefault="00E22F63" w:rsidP="00E22F63">
            <w:pPr>
              <w:widowControl w:val="0"/>
              <w:ind w:right="29"/>
              <w:rPr>
                <w:rFonts w:ascii="Arial" w:hAnsi="Arial" w:cs="Arial"/>
                <w:snapToGrid w:val="0"/>
                <w:lang w:eastAsia="en-US"/>
              </w:rPr>
            </w:pPr>
            <w:r w:rsidRPr="00C52185">
              <w:rPr>
                <w:rFonts w:ascii="Arial" w:hAnsi="Arial" w:cs="Arial"/>
                <w:snapToGrid w:val="0"/>
                <w:lang w:eastAsia="en-US"/>
              </w:rPr>
              <w:t>Operational boundary for external debt</w:t>
            </w:r>
          </w:p>
        </w:tc>
        <w:tc>
          <w:tcPr>
            <w:tcW w:w="1134" w:type="dxa"/>
            <w:vAlign w:val="center"/>
          </w:tcPr>
          <w:p w14:paraId="20171612" w14:textId="77777777" w:rsidR="00E22F63" w:rsidRPr="00C52185" w:rsidRDefault="00E22F63" w:rsidP="00E22F63">
            <w:pPr>
              <w:widowControl w:val="0"/>
              <w:ind w:right="29"/>
              <w:jc w:val="right"/>
              <w:rPr>
                <w:rFonts w:ascii="Arial" w:hAnsi="Arial" w:cs="Arial"/>
                <w:snapToGrid w:val="0"/>
                <w:lang w:eastAsia="en-US"/>
              </w:rPr>
            </w:pPr>
            <w:r w:rsidRPr="00C52185">
              <w:rPr>
                <w:rFonts w:ascii="Arial" w:hAnsi="Arial" w:cs="Arial"/>
                <w:snapToGrid w:val="0"/>
                <w:lang w:eastAsia="en-US"/>
              </w:rPr>
              <w:t>5,810</w:t>
            </w:r>
          </w:p>
        </w:tc>
        <w:tc>
          <w:tcPr>
            <w:tcW w:w="1134" w:type="dxa"/>
            <w:vAlign w:val="center"/>
          </w:tcPr>
          <w:p w14:paraId="20171613" w14:textId="77777777" w:rsidR="00E22F63" w:rsidRPr="00C52185" w:rsidRDefault="00DB7D65" w:rsidP="00E22F63">
            <w:pPr>
              <w:widowControl w:val="0"/>
              <w:ind w:right="29"/>
              <w:jc w:val="right"/>
              <w:rPr>
                <w:rFonts w:ascii="Arial" w:hAnsi="Arial" w:cs="Arial"/>
                <w:snapToGrid w:val="0"/>
                <w:lang w:eastAsia="en-US"/>
              </w:rPr>
            </w:pPr>
            <w:r>
              <w:rPr>
                <w:rFonts w:ascii="Arial" w:hAnsi="Arial" w:cs="Arial"/>
                <w:snapToGrid w:val="0"/>
                <w:lang w:eastAsia="en-US"/>
              </w:rPr>
              <w:t>5,810</w:t>
            </w:r>
          </w:p>
        </w:tc>
        <w:tc>
          <w:tcPr>
            <w:tcW w:w="1134" w:type="dxa"/>
            <w:vAlign w:val="center"/>
          </w:tcPr>
          <w:p w14:paraId="20171614" w14:textId="77777777" w:rsidR="00E22F63" w:rsidRPr="00C52185" w:rsidRDefault="00DB7D65" w:rsidP="00E22F63">
            <w:pPr>
              <w:widowControl w:val="0"/>
              <w:ind w:right="29"/>
              <w:jc w:val="right"/>
              <w:rPr>
                <w:rFonts w:ascii="Arial" w:hAnsi="Arial" w:cs="Arial"/>
                <w:snapToGrid w:val="0"/>
                <w:lang w:eastAsia="en-US"/>
              </w:rPr>
            </w:pPr>
            <w:r>
              <w:rPr>
                <w:rFonts w:ascii="Arial" w:hAnsi="Arial" w:cs="Arial"/>
                <w:snapToGrid w:val="0"/>
                <w:lang w:eastAsia="en-US"/>
              </w:rPr>
              <w:t>5,810</w:t>
            </w:r>
          </w:p>
        </w:tc>
        <w:tc>
          <w:tcPr>
            <w:tcW w:w="1134" w:type="dxa"/>
            <w:vAlign w:val="center"/>
          </w:tcPr>
          <w:p w14:paraId="20171615" w14:textId="77777777" w:rsidR="00E22F63" w:rsidRPr="00C52185" w:rsidRDefault="00DB7D65" w:rsidP="00E22F63">
            <w:pPr>
              <w:widowControl w:val="0"/>
              <w:ind w:right="29"/>
              <w:jc w:val="right"/>
              <w:rPr>
                <w:rFonts w:ascii="Arial" w:hAnsi="Arial" w:cs="Arial"/>
                <w:snapToGrid w:val="0"/>
                <w:lang w:eastAsia="en-US"/>
              </w:rPr>
            </w:pPr>
            <w:r>
              <w:rPr>
                <w:rFonts w:ascii="Arial" w:hAnsi="Arial" w:cs="Arial"/>
                <w:snapToGrid w:val="0"/>
                <w:lang w:eastAsia="en-US"/>
              </w:rPr>
              <w:t>5,810</w:t>
            </w:r>
          </w:p>
        </w:tc>
      </w:tr>
      <w:tr w:rsidR="00E22F63" w:rsidRPr="00A35576" w14:paraId="2017161C" w14:textId="77777777" w:rsidTr="00D44BFE">
        <w:trPr>
          <w:trHeight w:val="340"/>
        </w:trPr>
        <w:tc>
          <w:tcPr>
            <w:tcW w:w="5245" w:type="dxa"/>
            <w:tcBorders>
              <w:bottom w:val="single" w:sz="4" w:space="0" w:color="auto"/>
            </w:tcBorders>
            <w:vAlign w:val="center"/>
          </w:tcPr>
          <w:p w14:paraId="20171617" w14:textId="77777777" w:rsidR="00E22F63" w:rsidRPr="00C52185" w:rsidRDefault="00E22F63" w:rsidP="00E22F63">
            <w:pPr>
              <w:widowControl w:val="0"/>
              <w:ind w:right="29"/>
              <w:rPr>
                <w:rFonts w:ascii="Arial" w:hAnsi="Arial" w:cs="Arial"/>
                <w:snapToGrid w:val="0"/>
                <w:lang w:eastAsia="en-US"/>
              </w:rPr>
            </w:pPr>
            <w:r w:rsidRPr="00C52185">
              <w:rPr>
                <w:rFonts w:ascii="Arial" w:hAnsi="Arial" w:cs="Arial"/>
                <w:snapToGrid w:val="0"/>
                <w:lang w:eastAsia="en-US"/>
              </w:rPr>
              <w:t>Authorised limit for external debt</w:t>
            </w:r>
          </w:p>
        </w:tc>
        <w:tc>
          <w:tcPr>
            <w:tcW w:w="1134" w:type="dxa"/>
            <w:tcBorders>
              <w:bottom w:val="single" w:sz="4" w:space="0" w:color="auto"/>
            </w:tcBorders>
            <w:vAlign w:val="center"/>
          </w:tcPr>
          <w:p w14:paraId="20171618" w14:textId="77777777" w:rsidR="00E22F63" w:rsidRPr="00C52185" w:rsidRDefault="00E22F63" w:rsidP="00DB7D65">
            <w:pPr>
              <w:widowControl w:val="0"/>
              <w:ind w:right="29"/>
              <w:jc w:val="right"/>
              <w:rPr>
                <w:rFonts w:ascii="Arial" w:hAnsi="Arial" w:cs="Arial"/>
                <w:snapToGrid w:val="0"/>
                <w:lang w:eastAsia="en-US"/>
              </w:rPr>
            </w:pPr>
            <w:r w:rsidRPr="00C52185">
              <w:rPr>
                <w:rFonts w:ascii="Arial" w:hAnsi="Arial" w:cs="Arial"/>
                <w:snapToGrid w:val="0"/>
                <w:lang w:eastAsia="en-US"/>
              </w:rPr>
              <w:t>7,4</w:t>
            </w:r>
            <w:r w:rsidR="00DB7D65">
              <w:rPr>
                <w:rFonts w:ascii="Arial" w:hAnsi="Arial" w:cs="Arial"/>
                <w:snapToGrid w:val="0"/>
                <w:lang w:eastAsia="en-US"/>
              </w:rPr>
              <w:t>50</w:t>
            </w:r>
          </w:p>
        </w:tc>
        <w:tc>
          <w:tcPr>
            <w:tcW w:w="1134" w:type="dxa"/>
            <w:tcBorders>
              <w:bottom w:val="single" w:sz="4" w:space="0" w:color="auto"/>
            </w:tcBorders>
            <w:vAlign w:val="center"/>
          </w:tcPr>
          <w:p w14:paraId="20171619" w14:textId="77777777" w:rsidR="00E22F63" w:rsidRPr="00C52185" w:rsidRDefault="00DB7D65" w:rsidP="00E22F63">
            <w:pPr>
              <w:widowControl w:val="0"/>
              <w:ind w:right="29"/>
              <w:jc w:val="right"/>
              <w:rPr>
                <w:rFonts w:ascii="Arial" w:hAnsi="Arial" w:cs="Arial"/>
                <w:snapToGrid w:val="0"/>
                <w:lang w:eastAsia="en-US"/>
              </w:rPr>
            </w:pPr>
            <w:r>
              <w:rPr>
                <w:rFonts w:ascii="Arial" w:hAnsi="Arial" w:cs="Arial"/>
                <w:snapToGrid w:val="0"/>
                <w:lang w:eastAsia="en-US"/>
              </w:rPr>
              <w:t>7,166</w:t>
            </w:r>
          </w:p>
        </w:tc>
        <w:tc>
          <w:tcPr>
            <w:tcW w:w="1134" w:type="dxa"/>
            <w:tcBorders>
              <w:bottom w:val="single" w:sz="4" w:space="0" w:color="auto"/>
            </w:tcBorders>
            <w:vAlign w:val="center"/>
          </w:tcPr>
          <w:p w14:paraId="2017161A" w14:textId="77777777" w:rsidR="00E22F63" w:rsidRPr="00C52185" w:rsidRDefault="00DB7D65" w:rsidP="00E22F63">
            <w:pPr>
              <w:widowControl w:val="0"/>
              <w:ind w:right="29"/>
              <w:jc w:val="right"/>
              <w:rPr>
                <w:rFonts w:ascii="Arial" w:hAnsi="Arial" w:cs="Arial"/>
                <w:snapToGrid w:val="0"/>
                <w:lang w:eastAsia="en-US"/>
              </w:rPr>
            </w:pPr>
            <w:r>
              <w:rPr>
                <w:rFonts w:ascii="Arial" w:hAnsi="Arial" w:cs="Arial"/>
                <w:snapToGrid w:val="0"/>
                <w:lang w:eastAsia="en-US"/>
              </w:rPr>
              <w:t>6,888</w:t>
            </w:r>
          </w:p>
        </w:tc>
        <w:tc>
          <w:tcPr>
            <w:tcW w:w="1134" w:type="dxa"/>
            <w:tcBorders>
              <w:bottom w:val="single" w:sz="4" w:space="0" w:color="auto"/>
            </w:tcBorders>
            <w:vAlign w:val="center"/>
          </w:tcPr>
          <w:p w14:paraId="2017161B" w14:textId="77777777" w:rsidR="00E22F63" w:rsidRPr="00C52185" w:rsidRDefault="00DB7D65" w:rsidP="00E22F63">
            <w:pPr>
              <w:widowControl w:val="0"/>
              <w:ind w:right="29"/>
              <w:jc w:val="right"/>
              <w:rPr>
                <w:rFonts w:ascii="Arial" w:hAnsi="Arial" w:cs="Arial"/>
                <w:snapToGrid w:val="0"/>
                <w:lang w:eastAsia="en-US"/>
              </w:rPr>
            </w:pPr>
            <w:r>
              <w:rPr>
                <w:rFonts w:ascii="Arial" w:hAnsi="Arial" w:cs="Arial"/>
                <w:snapToGrid w:val="0"/>
                <w:lang w:eastAsia="en-US"/>
              </w:rPr>
              <w:t>6,617</w:t>
            </w:r>
          </w:p>
        </w:tc>
      </w:tr>
      <w:tr w:rsidR="00E22F63" w:rsidRPr="00A35576" w14:paraId="20171622" w14:textId="77777777" w:rsidTr="00D44BFE">
        <w:trPr>
          <w:trHeight w:val="276"/>
        </w:trPr>
        <w:tc>
          <w:tcPr>
            <w:tcW w:w="5245" w:type="dxa"/>
            <w:tcBorders>
              <w:right w:val="nil"/>
            </w:tcBorders>
            <w:vAlign w:val="center"/>
          </w:tcPr>
          <w:p w14:paraId="2017161D" w14:textId="77777777" w:rsidR="00E22F63" w:rsidRPr="00C52185" w:rsidRDefault="00E22F63" w:rsidP="00E22F63">
            <w:pPr>
              <w:widowControl w:val="0"/>
              <w:ind w:right="29"/>
              <w:rPr>
                <w:rFonts w:ascii="Arial" w:hAnsi="Arial" w:cs="Arial"/>
                <w:snapToGrid w:val="0"/>
                <w:lang w:eastAsia="en-US"/>
              </w:rPr>
            </w:pPr>
          </w:p>
        </w:tc>
        <w:tc>
          <w:tcPr>
            <w:tcW w:w="1134" w:type="dxa"/>
            <w:tcBorders>
              <w:left w:val="nil"/>
              <w:right w:val="nil"/>
            </w:tcBorders>
            <w:vAlign w:val="center"/>
          </w:tcPr>
          <w:p w14:paraId="2017161E" w14:textId="77777777" w:rsidR="00E22F63" w:rsidRPr="00C52185" w:rsidRDefault="00E22F63" w:rsidP="00E22F63">
            <w:pPr>
              <w:widowControl w:val="0"/>
              <w:ind w:right="29"/>
              <w:jc w:val="right"/>
              <w:rPr>
                <w:rFonts w:ascii="Arial" w:hAnsi="Arial" w:cs="Arial"/>
                <w:snapToGrid w:val="0"/>
                <w:lang w:eastAsia="en-US"/>
              </w:rPr>
            </w:pPr>
          </w:p>
        </w:tc>
        <w:tc>
          <w:tcPr>
            <w:tcW w:w="1134" w:type="dxa"/>
            <w:tcBorders>
              <w:left w:val="nil"/>
              <w:right w:val="nil"/>
            </w:tcBorders>
            <w:vAlign w:val="center"/>
          </w:tcPr>
          <w:p w14:paraId="2017161F" w14:textId="77777777" w:rsidR="00E22F63" w:rsidRPr="00C52185" w:rsidRDefault="00E22F63" w:rsidP="00E22F63">
            <w:pPr>
              <w:widowControl w:val="0"/>
              <w:ind w:right="29"/>
              <w:jc w:val="right"/>
              <w:rPr>
                <w:rFonts w:ascii="Arial" w:hAnsi="Arial" w:cs="Arial"/>
                <w:snapToGrid w:val="0"/>
                <w:lang w:eastAsia="en-US"/>
              </w:rPr>
            </w:pPr>
          </w:p>
        </w:tc>
        <w:tc>
          <w:tcPr>
            <w:tcW w:w="1134" w:type="dxa"/>
            <w:tcBorders>
              <w:left w:val="nil"/>
              <w:right w:val="nil"/>
            </w:tcBorders>
            <w:vAlign w:val="center"/>
          </w:tcPr>
          <w:p w14:paraId="20171620" w14:textId="77777777" w:rsidR="00E22F63" w:rsidRPr="00C52185" w:rsidRDefault="00E22F63" w:rsidP="00E22F63">
            <w:pPr>
              <w:widowControl w:val="0"/>
              <w:ind w:right="29"/>
              <w:jc w:val="right"/>
              <w:rPr>
                <w:rFonts w:ascii="Arial" w:hAnsi="Arial" w:cs="Arial"/>
                <w:snapToGrid w:val="0"/>
                <w:lang w:eastAsia="en-US"/>
              </w:rPr>
            </w:pPr>
          </w:p>
        </w:tc>
        <w:tc>
          <w:tcPr>
            <w:tcW w:w="1134" w:type="dxa"/>
            <w:tcBorders>
              <w:left w:val="nil"/>
            </w:tcBorders>
            <w:vAlign w:val="center"/>
          </w:tcPr>
          <w:p w14:paraId="20171621" w14:textId="77777777" w:rsidR="00E22F63" w:rsidRPr="00C52185" w:rsidRDefault="00E22F63" w:rsidP="00E22F63">
            <w:pPr>
              <w:widowControl w:val="0"/>
              <w:ind w:right="29"/>
              <w:jc w:val="right"/>
              <w:rPr>
                <w:rFonts w:ascii="Arial" w:hAnsi="Arial" w:cs="Arial"/>
                <w:snapToGrid w:val="0"/>
                <w:lang w:eastAsia="en-US"/>
              </w:rPr>
            </w:pPr>
          </w:p>
        </w:tc>
      </w:tr>
      <w:tr w:rsidR="00E22F63" w:rsidRPr="00A35576" w14:paraId="20171629" w14:textId="77777777" w:rsidTr="00D44BFE">
        <w:trPr>
          <w:trHeight w:val="340"/>
        </w:trPr>
        <w:tc>
          <w:tcPr>
            <w:tcW w:w="5245" w:type="dxa"/>
            <w:vAlign w:val="center"/>
          </w:tcPr>
          <w:p w14:paraId="20171624" w14:textId="6DCD731C" w:rsidR="00E22F63" w:rsidRPr="00C52185" w:rsidRDefault="00E22F63" w:rsidP="00D44BFE">
            <w:pPr>
              <w:widowControl w:val="0"/>
              <w:ind w:right="29"/>
              <w:rPr>
                <w:rFonts w:ascii="Arial" w:hAnsi="Arial" w:cs="Arial"/>
                <w:snapToGrid w:val="0"/>
                <w:lang w:eastAsia="en-US"/>
              </w:rPr>
            </w:pPr>
            <w:r w:rsidRPr="00C52185">
              <w:rPr>
                <w:rFonts w:ascii="Arial" w:hAnsi="Arial" w:cs="Arial"/>
                <w:snapToGrid w:val="0"/>
                <w:lang w:eastAsia="en-US"/>
              </w:rPr>
              <w:t>Ratio of financing costs to</w:t>
            </w:r>
            <w:r w:rsidR="00D44BFE">
              <w:rPr>
                <w:rFonts w:ascii="Arial" w:hAnsi="Arial" w:cs="Arial"/>
                <w:snapToGrid w:val="0"/>
                <w:lang w:eastAsia="en-US"/>
              </w:rPr>
              <w:t xml:space="preserve"> </w:t>
            </w:r>
            <w:r w:rsidRPr="00C52185">
              <w:rPr>
                <w:rFonts w:ascii="Arial" w:hAnsi="Arial" w:cs="Arial"/>
                <w:snapToGrid w:val="0"/>
                <w:lang w:eastAsia="en-US"/>
              </w:rPr>
              <w:t>net revenue stream</w:t>
            </w:r>
          </w:p>
        </w:tc>
        <w:tc>
          <w:tcPr>
            <w:tcW w:w="1134" w:type="dxa"/>
            <w:vAlign w:val="center"/>
          </w:tcPr>
          <w:p w14:paraId="20171625" w14:textId="77777777" w:rsidR="00E22F63" w:rsidRPr="00C52185" w:rsidRDefault="00E22F63" w:rsidP="006D573F">
            <w:pPr>
              <w:widowControl w:val="0"/>
              <w:ind w:right="29"/>
              <w:jc w:val="right"/>
              <w:rPr>
                <w:rFonts w:ascii="Arial" w:hAnsi="Arial" w:cs="Arial"/>
                <w:snapToGrid w:val="0"/>
                <w:lang w:eastAsia="en-US"/>
              </w:rPr>
            </w:pPr>
            <w:r w:rsidRPr="00C52185">
              <w:rPr>
                <w:rFonts w:ascii="Arial" w:hAnsi="Arial" w:cs="Arial"/>
                <w:snapToGrid w:val="0"/>
                <w:lang w:eastAsia="en-US"/>
              </w:rPr>
              <w:t>3.</w:t>
            </w:r>
            <w:r w:rsidR="006D573F">
              <w:rPr>
                <w:rFonts w:ascii="Arial" w:hAnsi="Arial" w:cs="Arial"/>
                <w:snapToGrid w:val="0"/>
                <w:lang w:eastAsia="en-US"/>
              </w:rPr>
              <w:t>48</w:t>
            </w:r>
            <w:r w:rsidRPr="00C52185">
              <w:rPr>
                <w:rFonts w:ascii="Arial" w:hAnsi="Arial" w:cs="Arial"/>
                <w:snapToGrid w:val="0"/>
                <w:lang w:eastAsia="en-US"/>
              </w:rPr>
              <w:t>%</w:t>
            </w:r>
          </w:p>
        </w:tc>
        <w:tc>
          <w:tcPr>
            <w:tcW w:w="1134" w:type="dxa"/>
            <w:vAlign w:val="center"/>
          </w:tcPr>
          <w:p w14:paraId="20171626" w14:textId="77777777" w:rsidR="00E22F63" w:rsidRPr="00C52185" w:rsidRDefault="006D573F" w:rsidP="00E22F63">
            <w:pPr>
              <w:widowControl w:val="0"/>
              <w:ind w:right="29"/>
              <w:jc w:val="right"/>
              <w:rPr>
                <w:rFonts w:ascii="Arial" w:hAnsi="Arial" w:cs="Arial"/>
                <w:snapToGrid w:val="0"/>
                <w:lang w:eastAsia="en-US"/>
              </w:rPr>
            </w:pPr>
            <w:r>
              <w:rPr>
                <w:rFonts w:ascii="Arial" w:hAnsi="Arial" w:cs="Arial"/>
                <w:snapToGrid w:val="0"/>
                <w:lang w:eastAsia="en-US"/>
              </w:rPr>
              <w:t>3.21%</w:t>
            </w:r>
          </w:p>
        </w:tc>
        <w:tc>
          <w:tcPr>
            <w:tcW w:w="1134" w:type="dxa"/>
            <w:vAlign w:val="center"/>
          </w:tcPr>
          <w:p w14:paraId="20171627" w14:textId="77777777" w:rsidR="00E22F63" w:rsidRPr="00C52185" w:rsidRDefault="006D573F" w:rsidP="00E22F63">
            <w:pPr>
              <w:widowControl w:val="0"/>
              <w:ind w:right="29"/>
              <w:jc w:val="right"/>
              <w:rPr>
                <w:rFonts w:ascii="Arial" w:hAnsi="Arial" w:cs="Arial"/>
                <w:snapToGrid w:val="0"/>
                <w:lang w:eastAsia="en-US"/>
              </w:rPr>
            </w:pPr>
            <w:r>
              <w:rPr>
                <w:rFonts w:ascii="Arial" w:hAnsi="Arial" w:cs="Arial"/>
                <w:snapToGrid w:val="0"/>
                <w:lang w:eastAsia="en-US"/>
              </w:rPr>
              <w:t>3.23%</w:t>
            </w:r>
          </w:p>
        </w:tc>
        <w:tc>
          <w:tcPr>
            <w:tcW w:w="1134" w:type="dxa"/>
            <w:vAlign w:val="center"/>
          </w:tcPr>
          <w:p w14:paraId="20171628" w14:textId="77777777" w:rsidR="00E22F63" w:rsidRPr="00C52185" w:rsidRDefault="006D573F" w:rsidP="00E22F63">
            <w:pPr>
              <w:widowControl w:val="0"/>
              <w:ind w:right="29"/>
              <w:jc w:val="right"/>
              <w:rPr>
                <w:rFonts w:ascii="Arial" w:hAnsi="Arial" w:cs="Arial"/>
                <w:snapToGrid w:val="0"/>
                <w:lang w:eastAsia="en-US"/>
              </w:rPr>
            </w:pPr>
            <w:r>
              <w:rPr>
                <w:rFonts w:ascii="Arial" w:hAnsi="Arial" w:cs="Arial"/>
                <w:snapToGrid w:val="0"/>
                <w:lang w:eastAsia="en-US"/>
              </w:rPr>
              <w:t>3.22%</w:t>
            </w:r>
          </w:p>
        </w:tc>
      </w:tr>
      <w:tr w:rsidR="00E22F63" w:rsidRPr="00A35576" w14:paraId="2017162F" w14:textId="77777777" w:rsidTr="00D44BFE">
        <w:trPr>
          <w:trHeight w:val="340"/>
        </w:trPr>
        <w:tc>
          <w:tcPr>
            <w:tcW w:w="5245" w:type="dxa"/>
            <w:vAlign w:val="center"/>
          </w:tcPr>
          <w:p w14:paraId="2B9BCCE2" w14:textId="77777777" w:rsidR="00071E5B" w:rsidRDefault="00E22F63" w:rsidP="00E22F63">
            <w:pPr>
              <w:widowControl w:val="0"/>
              <w:ind w:right="29"/>
              <w:rPr>
                <w:rFonts w:ascii="Arial" w:hAnsi="Arial" w:cs="Arial"/>
                <w:snapToGrid w:val="0"/>
                <w:lang w:eastAsia="en-US"/>
              </w:rPr>
            </w:pPr>
            <w:r w:rsidRPr="00C52185">
              <w:rPr>
                <w:rFonts w:ascii="Arial" w:hAnsi="Arial" w:cs="Arial"/>
                <w:snapToGrid w:val="0"/>
                <w:lang w:eastAsia="en-US"/>
              </w:rPr>
              <w:t>Impa</w:t>
            </w:r>
            <w:r w:rsidR="00071E5B">
              <w:rPr>
                <w:rFonts w:ascii="Arial" w:hAnsi="Arial" w:cs="Arial"/>
                <w:snapToGrid w:val="0"/>
                <w:lang w:eastAsia="en-US"/>
              </w:rPr>
              <w:t>ct of new capital investment on</w:t>
            </w:r>
          </w:p>
          <w:p w14:paraId="2017162A" w14:textId="130FB513" w:rsidR="00E22F63" w:rsidRPr="00C52185" w:rsidRDefault="00E22F63" w:rsidP="00E22F63">
            <w:pPr>
              <w:widowControl w:val="0"/>
              <w:ind w:right="29"/>
              <w:rPr>
                <w:rFonts w:ascii="Arial" w:hAnsi="Arial" w:cs="Arial"/>
                <w:snapToGrid w:val="0"/>
                <w:lang w:eastAsia="en-US"/>
              </w:rPr>
            </w:pPr>
            <w:r w:rsidRPr="00C52185">
              <w:rPr>
                <w:rFonts w:ascii="Arial" w:hAnsi="Arial" w:cs="Arial"/>
                <w:snapToGrid w:val="0"/>
                <w:lang w:eastAsia="en-US"/>
              </w:rPr>
              <w:t>Band D precept</w:t>
            </w:r>
          </w:p>
        </w:tc>
        <w:tc>
          <w:tcPr>
            <w:tcW w:w="1134" w:type="dxa"/>
            <w:vAlign w:val="center"/>
          </w:tcPr>
          <w:p w14:paraId="2017162B" w14:textId="77777777" w:rsidR="00E22F63" w:rsidRPr="00C52185" w:rsidRDefault="006D573F" w:rsidP="00E22F63">
            <w:pPr>
              <w:widowControl w:val="0"/>
              <w:ind w:right="29"/>
              <w:jc w:val="right"/>
              <w:rPr>
                <w:rFonts w:ascii="Arial" w:hAnsi="Arial" w:cs="Arial"/>
                <w:snapToGrid w:val="0"/>
                <w:lang w:eastAsia="en-US"/>
              </w:rPr>
            </w:pPr>
            <w:r>
              <w:rPr>
                <w:rFonts w:ascii="Arial" w:hAnsi="Arial" w:cs="Arial"/>
                <w:snapToGrid w:val="0"/>
                <w:lang w:eastAsia="en-US"/>
              </w:rPr>
              <w:t>-</w:t>
            </w:r>
          </w:p>
        </w:tc>
        <w:tc>
          <w:tcPr>
            <w:tcW w:w="1134" w:type="dxa"/>
            <w:vAlign w:val="center"/>
          </w:tcPr>
          <w:p w14:paraId="2017162C" w14:textId="77777777" w:rsidR="00E22F63" w:rsidRPr="00C52185" w:rsidRDefault="006D573F" w:rsidP="00E22F63">
            <w:pPr>
              <w:widowControl w:val="0"/>
              <w:ind w:right="29"/>
              <w:jc w:val="right"/>
              <w:rPr>
                <w:rFonts w:ascii="Arial" w:hAnsi="Arial" w:cs="Arial"/>
                <w:snapToGrid w:val="0"/>
                <w:lang w:eastAsia="en-US"/>
              </w:rPr>
            </w:pPr>
            <w:r>
              <w:rPr>
                <w:rFonts w:ascii="Arial" w:hAnsi="Arial" w:cs="Arial"/>
                <w:snapToGrid w:val="0"/>
                <w:lang w:eastAsia="en-US"/>
              </w:rPr>
              <w:t>-</w:t>
            </w:r>
          </w:p>
        </w:tc>
        <w:tc>
          <w:tcPr>
            <w:tcW w:w="1134" w:type="dxa"/>
            <w:vAlign w:val="center"/>
          </w:tcPr>
          <w:p w14:paraId="2017162D" w14:textId="77777777" w:rsidR="00E22F63" w:rsidRPr="00C52185" w:rsidRDefault="006D573F" w:rsidP="00E22F63">
            <w:pPr>
              <w:widowControl w:val="0"/>
              <w:ind w:right="29"/>
              <w:jc w:val="right"/>
              <w:rPr>
                <w:rFonts w:ascii="Arial" w:hAnsi="Arial" w:cs="Arial"/>
                <w:snapToGrid w:val="0"/>
                <w:lang w:eastAsia="en-US"/>
              </w:rPr>
            </w:pPr>
            <w:r>
              <w:rPr>
                <w:rFonts w:ascii="Arial" w:hAnsi="Arial" w:cs="Arial"/>
                <w:snapToGrid w:val="0"/>
                <w:lang w:eastAsia="en-US"/>
              </w:rPr>
              <w:t>-</w:t>
            </w:r>
          </w:p>
        </w:tc>
        <w:tc>
          <w:tcPr>
            <w:tcW w:w="1134" w:type="dxa"/>
            <w:vAlign w:val="center"/>
          </w:tcPr>
          <w:p w14:paraId="2017162E" w14:textId="77777777" w:rsidR="00E22F63" w:rsidRPr="00C52185" w:rsidRDefault="006D573F" w:rsidP="00E22F63">
            <w:pPr>
              <w:widowControl w:val="0"/>
              <w:ind w:right="29"/>
              <w:jc w:val="right"/>
              <w:rPr>
                <w:rFonts w:ascii="Arial" w:hAnsi="Arial" w:cs="Arial"/>
                <w:snapToGrid w:val="0"/>
                <w:lang w:eastAsia="en-US"/>
              </w:rPr>
            </w:pPr>
            <w:r>
              <w:rPr>
                <w:rFonts w:ascii="Arial" w:hAnsi="Arial" w:cs="Arial"/>
                <w:snapToGrid w:val="0"/>
                <w:lang w:eastAsia="en-US"/>
              </w:rPr>
              <w:t>-</w:t>
            </w:r>
          </w:p>
        </w:tc>
      </w:tr>
    </w:tbl>
    <w:p w14:paraId="20171630" w14:textId="77777777" w:rsidR="005C7E9B" w:rsidRPr="005523B2" w:rsidRDefault="005C7E9B" w:rsidP="00F53419">
      <w:pPr>
        <w:pStyle w:val="sssubhead1"/>
        <w:numPr>
          <w:ilvl w:val="0"/>
          <w:numId w:val="0"/>
        </w:numPr>
        <w:ind w:left="502"/>
        <w:rPr>
          <w:b w:val="0"/>
          <w:sz w:val="24"/>
          <w:szCs w:val="24"/>
        </w:rPr>
      </w:pPr>
    </w:p>
    <w:p w14:paraId="0507ADD2" w14:textId="77777777" w:rsidR="005523B2" w:rsidRPr="005523B2" w:rsidRDefault="005523B2" w:rsidP="005523B2">
      <w:pPr>
        <w:pStyle w:val="PlainText"/>
        <w:rPr>
          <w:rFonts w:ascii="Arial" w:hAnsi="Arial" w:cs="Arial"/>
          <w:sz w:val="24"/>
          <w:szCs w:val="24"/>
        </w:rPr>
      </w:pPr>
    </w:p>
    <w:p w14:paraId="20171632" w14:textId="77777777" w:rsidR="005C7E9B" w:rsidRPr="001B12C9" w:rsidRDefault="005C7E9B" w:rsidP="00F53419">
      <w:pPr>
        <w:pStyle w:val="sssubhead1"/>
      </w:pPr>
      <w:r w:rsidRPr="001B12C9">
        <w:t>Gross Debt and Capital Financing Requirement</w:t>
      </w:r>
    </w:p>
    <w:p w14:paraId="20171633" w14:textId="77777777" w:rsidR="005C7E9B" w:rsidRDefault="005C7E9B" w:rsidP="005C7E9B">
      <w:pPr>
        <w:pStyle w:val="PlainText"/>
        <w:rPr>
          <w:rFonts w:ascii="Arial" w:hAnsi="Arial" w:cs="Arial"/>
          <w:sz w:val="24"/>
          <w:szCs w:val="24"/>
          <w:lang w:eastAsia="en-US"/>
        </w:rPr>
      </w:pPr>
    </w:p>
    <w:p w14:paraId="20171634" w14:textId="77777777" w:rsidR="005C7E9B" w:rsidRDefault="005C7E9B" w:rsidP="005C7E9B">
      <w:pPr>
        <w:pStyle w:val="PlainText"/>
        <w:ind w:left="709"/>
        <w:rPr>
          <w:rFonts w:ascii="Arial" w:hAnsi="Arial" w:cs="Arial"/>
          <w:sz w:val="24"/>
          <w:szCs w:val="24"/>
          <w:lang w:eastAsia="en-US"/>
        </w:rPr>
      </w:pPr>
      <w:r>
        <w:rPr>
          <w:rFonts w:ascii="Arial" w:hAnsi="Arial" w:cs="Arial"/>
          <w:sz w:val="24"/>
          <w:szCs w:val="24"/>
          <w:lang w:eastAsia="en-US"/>
        </w:rPr>
        <w:t>The Authority’s gross debt, at 5.810m, is higher than its Capital Financing Requirement, set in 201</w:t>
      </w:r>
      <w:r w:rsidR="006241F0">
        <w:rPr>
          <w:rFonts w:ascii="Arial" w:hAnsi="Arial" w:cs="Arial"/>
          <w:sz w:val="24"/>
          <w:szCs w:val="24"/>
          <w:lang w:eastAsia="en-US"/>
        </w:rPr>
        <w:t>5</w:t>
      </w:r>
      <w:r>
        <w:rPr>
          <w:rFonts w:ascii="Arial" w:hAnsi="Arial" w:cs="Arial"/>
          <w:sz w:val="24"/>
          <w:szCs w:val="24"/>
          <w:lang w:eastAsia="en-US"/>
        </w:rPr>
        <w:t>/1</w:t>
      </w:r>
      <w:r w:rsidR="006241F0">
        <w:rPr>
          <w:rFonts w:ascii="Arial" w:hAnsi="Arial" w:cs="Arial"/>
          <w:sz w:val="24"/>
          <w:szCs w:val="24"/>
          <w:lang w:eastAsia="en-US"/>
        </w:rPr>
        <w:t>6</w:t>
      </w:r>
      <w:r>
        <w:rPr>
          <w:rFonts w:ascii="Arial" w:hAnsi="Arial" w:cs="Arial"/>
          <w:sz w:val="24"/>
          <w:szCs w:val="24"/>
          <w:lang w:eastAsia="en-US"/>
        </w:rPr>
        <w:t xml:space="preserve"> at </w:t>
      </w:r>
      <w:r w:rsidRPr="00D63A22">
        <w:rPr>
          <w:rFonts w:ascii="Arial" w:hAnsi="Arial" w:cs="Arial"/>
          <w:sz w:val="24"/>
          <w:szCs w:val="24"/>
          <w:lang w:eastAsia="en-US"/>
        </w:rPr>
        <w:t>£</w:t>
      </w:r>
      <w:r w:rsidR="00D63A22" w:rsidRPr="00D63A22">
        <w:rPr>
          <w:rFonts w:ascii="Arial" w:hAnsi="Arial" w:cs="Arial"/>
          <w:sz w:val="24"/>
          <w:szCs w:val="24"/>
          <w:lang w:eastAsia="en-US"/>
        </w:rPr>
        <w:t>4.166m</w:t>
      </w:r>
      <w:r>
        <w:rPr>
          <w:rFonts w:ascii="Arial" w:hAnsi="Arial" w:cs="Arial"/>
          <w:sz w:val="24"/>
          <w:szCs w:val="24"/>
          <w:lang w:eastAsia="en-US"/>
        </w:rPr>
        <w:t>.</w:t>
      </w:r>
    </w:p>
    <w:p w14:paraId="20171635" w14:textId="77777777" w:rsidR="005C7E9B" w:rsidRDefault="005C7E9B" w:rsidP="005C7E9B">
      <w:pPr>
        <w:pStyle w:val="PlainText"/>
        <w:ind w:left="709"/>
        <w:rPr>
          <w:rFonts w:ascii="Arial" w:hAnsi="Arial" w:cs="Arial"/>
          <w:sz w:val="24"/>
          <w:szCs w:val="24"/>
          <w:lang w:eastAsia="en-US"/>
        </w:rPr>
      </w:pPr>
    </w:p>
    <w:p w14:paraId="20171636" w14:textId="77777777" w:rsidR="005C7E9B" w:rsidRDefault="005C7E9B" w:rsidP="005C7E9B">
      <w:pPr>
        <w:pStyle w:val="PlainText"/>
        <w:ind w:left="709"/>
        <w:rPr>
          <w:rFonts w:ascii="Arial" w:hAnsi="Arial" w:cs="Arial"/>
          <w:sz w:val="24"/>
          <w:szCs w:val="24"/>
          <w:lang w:eastAsia="en-US"/>
        </w:rPr>
      </w:pPr>
      <w:r>
        <w:rPr>
          <w:rFonts w:ascii="Arial" w:hAnsi="Arial" w:cs="Arial"/>
          <w:sz w:val="24"/>
          <w:szCs w:val="24"/>
          <w:lang w:eastAsia="en-US"/>
        </w:rPr>
        <w:t xml:space="preserve">The reason for </w:t>
      </w:r>
      <w:r w:rsidR="008B2D2D">
        <w:rPr>
          <w:rFonts w:ascii="Arial" w:hAnsi="Arial" w:cs="Arial"/>
          <w:sz w:val="24"/>
          <w:szCs w:val="24"/>
          <w:lang w:eastAsia="en-US"/>
        </w:rPr>
        <w:t>this difference is that future Capital P</w:t>
      </w:r>
      <w:r>
        <w:rPr>
          <w:rFonts w:ascii="Arial" w:hAnsi="Arial" w:cs="Arial"/>
          <w:sz w:val="24"/>
          <w:szCs w:val="24"/>
          <w:lang w:eastAsia="en-US"/>
        </w:rPr>
        <w:t>rogrammes are being funded by reserves and balances, therefore no funding requirement is necessary.  However, as minimum revenue provision is set aside each year against past borrowing and assets, this reduces the existing borrowing requirements.  This is allowable, as the Authority will still operate within its Operational Boundary and Authorised Limit.</w:t>
      </w:r>
    </w:p>
    <w:p w14:paraId="20171637" w14:textId="77777777" w:rsidR="001937A1" w:rsidRDefault="001937A1" w:rsidP="005C7E9B">
      <w:pPr>
        <w:pStyle w:val="PlainText"/>
        <w:ind w:left="709"/>
        <w:rPr>
          <w:rFonts w:ascii="Arial" w:hAnsi="Arial" w:cs="Arial"/>
          <w:sz w:val="24"/>
          <w:szCs w:val="24"/>
          <w:lang w:eastAsia="en-US"/>
        </w:rPr>
      </w:pPr>
    </w:p>
    <w:p w14:paraId="20171638" w14:textId="77777777" w:rsidR="0083536F" w:rsidRDefault="0083536F" w:rsidP="00F53419">
      <w:pPr>
        <w:pStyle w:val="sssubhead1"/>
      </w:pPr>
      <w:r>
        <w:t>Treasury Strategy 201</w:t>
      </w:r>
      <w:r w:rsidR="006241F0">
        <w:t>5</w:t>
      </w:r>
      <w:r>
        <w:t>/1</w:t>
      </w:r>
      <w:r w:rsidR="006241F0">
        <w:t>6</w:t>
      </w:r>
    </w:p>
    <w:p w14:paraId="20171639" w14:textId="77777777" w:rsidR="0083536F" w:rsidRPr="00B72AC1" w:rsidRDefault="0083536F" w:rsidP="0083536F">
      <w:pPr>
        <w:widowControl w:val="0"/>
        <w:ind w:left="720"/>
        <w:rPr>
          <w:rFonts w:ascii="Arial" w:hAnsi="Arial" w:cs="Arial"/>
          <w:snapToGrid w:val="0"/>
          <w:lang w:eastAsia="en-US"/>
        </w:rPr>
      </w:pPr>
    </w:p>
    <w:p w14:paraId="2017163A" w14:textId="77777777" w:rsidR="0083536F" w:rsidRPr="006241F0" w:rsidRDefault="0083536F" w:rsidP="0083536F">
      <w:pPr>
        <w:widowControl w:val="0"/>
        <w:ind w:left="720"/>
        <w:rPr>
          <w:rFonts w:ascii="Arial" w:hAnsi="Arial" w:cs="Arial"/>
          <w:b/>
          <w:i/>
          <w:snapToGrid w:val="0"/>
          <w:color w:val="FF0000"/>
          <w:lang w:eastAsia="en-US"/>
        </w:rPr>
      </w:pPr>
      <w:r w:rsidRPr="006F29AA">
        <w:rPr>
          <w:rFonts w:ascii="Arial" w:hAnsi="Arial" w:cs="Arial"/>
          <w:b/>
          <w:snapToGrid w:val="0"/>
          <w:lang w:eastAsia="en-US"/>
        </w:rPr>
        <w:t>Economic Background</w:t>
      </w:r>
      <w:r w:rsidR="006241F0">
        <w:rPr>
          <w:rFonts w:ascii="Arial" w:hAnsi="Arial" w:cs="Arial"/>
          <w:b/>
          <w:snapToGrid w:val="0"/>
          <w:lang w:eastAsia="en-US"/>
        </w:rPr>
        <w:t xml:space="preserve"> </w:t>
      </w:r>
    </w:p>
    <w:p w14:paraId="2017163B" w14:textId="77777777" w:rsidR="0083536F" w:rsidRDefault="0083536F" w:rsidP="00973CB6">
      <w:pPr>
        <w:widowControl w:val="0"/>
        <w:ind w:left="720"/>
        <w:rPr>
          <w:rFonts w:ascii="Arial" w:hAnsi="Arial" w:cs="Arial"/>
          <w:noProof/>
        </w:rPr>
      </w:pPr>
    </w:p>
    <w:p w14:paraId="2017163C" w14:textId="1AD2A5E2" w:rsidR="000121AE" w:rsidRDefault="000121AE" w:rsidP="00973CB6">
      <w:pPr>
        <w:ind w:left="720"/>
        <w:rPr>
          <w:rFonts w:ascii="Arial" w:hAnsi="Arial" w:cs="Arial"/>
          <w:noProof/>
          <w:color w:val="0D0D0D"/>
          <w:spacing w:val="-5"/>
          <w:lang w:eastAsia="en-US"/>
        </w:rPr>
      </w:pPr>
      <w:r w:rsidRPr="000121AE">
        <w:rPr>
          <w:rFonts w:ascii="Arial" w:hAnsi="Arial" w:cs="Arial"/>
          <w:noProof/>
          <w:color w:val="0D0D0D"/>
          <w:spacing w:val="-5"/>
          <w:lang w:eastAsia="en-US"/>
        </w:rPr>
        <w:t>Until 2013, the economic recovery in the UK since 2008 had been the worst and slow</w:t>
      </w:r>
      <w:r w:rsidR="00071E5B">
        <w:rPr>
          <w:rFonts w:ascii="Arial" w:hAnsi="Arial" w:cs="Arial"/>
          <w:noProof/>
          <w:color w:val="0D0D0D"/>
          <w:spacing w:val="-5"/>
          <w:lang w:eastAsia="en-US"/>
        </w:rPr>
        <w:t xml:space="preserve">est recovery in recent history.  </w:t>
      </w:r>
      <w:r w:rsidRPr="000121AE">
        <w:rPr>
          <w:rFonts w:ascii="Arial" w:hAnsi="Arial" w:cs="Arial"/>
          <w:noProof/>
          <w:color w:val="0D0D0D"/>
          <w:spacing w:val="-5"/>
          <w:lang w:eastAsia="en-US"/>
        </w:rPr>
        <w:t>However, growth has rebounded during 2013</w:t>
      </w:r>
      <w:r w:rsidR="00071E5B">
        <w:rPr>
          <w:rFonts w:ascii="Arial" w:hAnsi="Arial" w:cs="Arial"/>
          <w:noProof/>
          <w:color w:val="0D0D0D"/>
          <w:spacing w:val="-5"/>
          <w:lang w:eastAsia="en-US"/>
        </w:rPr>
        <w:t>,</w:t>
      </w:r>
      <w:r w:rsidRPr="000121AE">
        <w:rPr>
          <w:rFonts w:ascii="Arial" w:hAnsi="Arial" w:cs="Arial"/>
          <w:noProof/>
          <w:color w:val="0D0D0D"/>
          <w:spacing w:val="-5"/>
          <w:lang w:eastAsia="en-US"/>
        </w:rPr>
        <w:t xml:space="preserve"> and especially during 2014, to surpass all expectations, propelled by recovery in consumer spending </w:t>
      </w:r>
      <w:r w:rsidR="00071E5B">
        <w:rPr>
          <w:rFonts w:ascii="Arial" w:hAnsi="Arial" w:cs="Arial"/>
          <w:noProof/>
          <w:color w:val="0D0D0D"/>
          <w:spacing w:val="-5"/>
          <w:lang w:eastAsia="en-US"/>
        </w:rPr>
        <w:t xml:space="preserve">and the housing market.  </w:t>
      </w:r>
      <w:r>
        <w:rPr>
          <w:rFonts w:ascii="Arial" w:hAnsi="Arial" w:cs="Arial"/>
          <w:noProof/>
          <w:color w:val="0D0D0D"/>
          <w:spacing w:val="-5"/>
          <w:lang w:eastAsia="en-US"/>
        </w:rPr>
        <w:t>I</w:t>
      </w:r>
      <w:r w:rsidRPr="000121AE">
        <w:rPr>
          <w:rFonts w:ascii="Arial" w:hAnsi="Arial" w:cs="Arial"/>
          <w:noProof/>
          <w:color w:val="0D0D0D"/>
          <w:spacing w:val="-5"/>
          <w:lang w:eastAsia="en-US"/>
        </w:rPr>
        <w:t>ndicat</w:t>
      </w:r>
      <w:r>
        <w:rPr>
          <w:rFonts w:ascii="Arial" w:hAnsi="Arial" w:cs="Arial"/>
          <w:noProof/>
          <w:color w:val="0D0D0D"/>
          <w:spacing w:val="-5"/>
          <w:lang w:eastAsia="en-US"/>
        </w:rPr>
        <w:t>ions are that</w:t>
      </w:r>
      <w:r w:rsidRPr="000121AE">
        <w:rPr>
          <w:rFonts w:ascii="Arial" w:hAnsi="Arial" w:cs="Arial"/>
          <w:noProof/>
          <w:color w:val="0D0D0D"/>
          <w:spacing w:val="-5"/>
          <w:lang w:eastAsia="en-US"/>
        </w:rPr>
        <w:t xml:space="preserve"> growth prospects are strong for 2015, particularly in the services and construction sectors.</w:t>
      </w:r>
      <w:r w:rsidR="00071E5B">
        <w:rPr>
          <w:rFonts w:ascii="Arial" w:hAnsi="Arial" w:cs="Arial"/>
          <w:noProof/>
          <w:color w:val="0D0D0D"/>
          <w:spacing w:val="-5"/>
          <w:lang w:eastAsia="en-US"/>
        </w:rPr>
        <w:t xml:space="preserve"> </w:t>
      </w:r>
      <w:r w:rsidRPr="000121AE">
        <w:rPr>
          <w:rFonts w:ascii="Arial" w:hAnsi="Arial" w:cs="Arial"/>
          <w:noProof/>
          <w:color w:val="0D0D0D"/>
          <w:spacing w:val="-5"/>
          <w:lang w:eastAsia="en-US"/>
        </w:rPr>
        <w:t xml:space="preserve"> However, growth in the manufacturing sector and in exports has weakened during 2014 due to poor growth in the Eurozone.</w:t>
      </w:r>
    </w:p>
    <w:p w14:paraId="256934CB" w14:textId="77777777" w:rsidR="00973CB6" w:rsidRDefault="00973CB6" w:rsidP="00973CB6">
      <w:pPr>
        <w:ind w:left="720"/>
        <w:rPr>
          <w:rFonts w:ascii="Arial" w:hAnsi="Arial" w:cs="Arial"/>
          <w:noProof/>
          <w:color w:val="0D0D0D"/>
          <w:spacing w:val="-5"/>
          <w:lang w:eastAsia="en-US"/>
        </w:rPr>
      </w:pPr>
    </w:p>
    <w:p w14:paraId="2017163D" w14:textId="3E457097" w:rsidR="000121AE" w:rsidRDefault="000121AE" w:rsidP="00973CB6">
      <w:pPr>
        <w:ind w:left="720"/>
        <w:rPr>
          <w:rFonts w:ascii="Arial" w:hAnsi="Arial" w:cs="Arial"/>
          <w:noProof/>
          <w:color w:val="0D0D0D"/>
          <w:spacing w:val="-5"/>
          <w:lang w:eastAsia="en-US"/>
        </w:rPr>
      </w:pPr>
      <w:r w:rsidRPr="000121AE">
        <w:rPr>
          <w:rFonts w:ascii="Arial" w:hAnsi="Arial" w:cs="Arial"/>
          <w:noProof/>
          <w:color w:val="0D0D0D"/>
          <w:spacing w:val="-5"/>
          <w:lang w:eastAsia="en-US"/>
        </w:rPr>
        <w:t xml:space="preserve">There does need to be a significant rebalancing of the economy away from consumer spending to manufacturing, business investment and exporting in order for this initial stage in the recovery to become more firmly established. </w:t>
      </w:r>
      <w:r w:rsidR="00071E5B">
        <w:rPr>
          <w:rFonts w:ascii="Arial" w:hAnsi="Arial" w:cs="Arial"/>
          <w:noProof/>
          <w:color w:val="0D0D0D"/>
          <w:spacing w:val="-5"/>
          <w:lang w:eastAsia="en-US"/>
        </w:rPr>
        <w:t xml:space="preserve"> </w:t>
      </w:r>
      <w:r w:rsidRPr="000121AE">
        <w:rPr>
          <w:rFonts w:ascii="Arial" w:hAnsi="Arial" w:cs="Arial"/>
          <w:noProof/>
          <w:color w:val="0D0D0D"/>
          <w:spacing w:val="-5"/>
          <w:lang w:eastAsia="en-US"/>
        </w:rPr>
        <w:t>One drag on the economy is that wage i</w:t>
      </w:r>
      <w:r w:rsidR="00071E5B">
        <w:rPr>
          <w:rFonts w:ascii="Arial" w:hAnsi="Arial" w:cs="Arial"/>
          <w:noProof/>
          <w:color w:val="0D0D0D"/>
          <w:spacing w:val="-5"/>
          <w:lang w:eastAsia="en-US"/>
        </w:rPr>
        <w:t>nflation has been lower than Consumer Price Index</w:t>
      </w:r>
      <w:r w:rsidRPr="000121AE">
        <w:rPr>
          <w:rFonts w:ascii="Arial" w:hAnsi="Arial" w:cs="Arial"/>
          <w:noProof/>
          <w:color w:val="0D0D0D"/>
          <w:spacing w:val="-5"/>
          <w:lang w:eastAsia="en-US"/>
        </w:rPr>
        <w:t xml:space="preserve"> inflation</w:t>
      </w:r>
      <w:r w:rsidR="00071E5B">
        <w:rPr>
          <w:rFonts w:ascii="Arial" w:hAnsi="Arial" w:cs="Arial"/>
          <w:noProof/>
          <w:color w:val="0D0D0D"/>
          <w:spacing w:val="-5"/>
          <w:lang w:eastAsia="en-US"/>
        </w:rPr>
        <w:t>,</w:t>
      </w:r>
      <w:r w:rsidRPr="000121AE">
        <w:rPr>
          <w:rFonts w:ascii="Arial" w:hAnsi="Arial" w:cs="Arial"/>
          <w:noProof/>
          <w:color w:val="0D0D0D"/>
          <w:spacing w:val="-5"/>
          <w:lang w:eastAsia="en-US"/>
        </w:rPr>
        <w:t xml:space="preserve"> so eroding disposable income and living standards, although income tax cuts have </w:t>
      </w:r>
      <w:r>
        <w:rPr>
          <w:rFonts w:ascii="Arial" w:hAnsi="Arial" w:cs="Arial"/>
          <w:noProof/>
          <w:color w:val="0D0D0D"/>
          <w:spacing w:val="-5"/>
          <w:lang w:eastAsia="en-US"/>
        </w:rPr>
        <w:t xml:space="preserve">eased </w:t>
      </w:r>
      <w:r w:rsidRPr="000121AE">
        <w:rPr>
          <w:rFonts w:ascii="Arial" w:hAnsi="Arial" w:cs="Arial"/>
          <w:noProof/>
          <w:color w:val="0D0D0D"/>
          <w:spacing w:val="-5"/>
          <w:lang w:eastAsia="en-US"/>
        </w:rPr>
        <w:t xml:space="preserve">this to some extent. </w:t>
      </w:r>
      <w:r w:rsidR="00071E5B">
        <w:rPr>
          <w:rFonts w:ascii="Arial" w:hAnsi="Arial" w:cs="Arial"/>
          <w:noProof/>
          <w:color w:val="0D0D0D"/>
          <w:spacing w:val="-5"/>
          <w:lang w:eastAsia="en-US"/>
        </w:rPr>
        <w:t xml:space="preserve"> </w:t>
      </w:r>
      <w:r w:rsidRPr="000121AE">
        <w:rPr>
          <w:rFonts w:ascii="Arial" w:hAnsi="Arial" w:cs="Arial"/>
          <w:noProof/>
          <w:color w:val="0D0D0D"/>
          <w:spacing w:val="-5"/>
          <w:lang w:eastAsia="en-US"/>
        </w:rPr>
        <w:t>This means that labour productivity mus</w:t>
      </w:r>
      <w:r w:rsidR="00071E5B">
        <w:rPr>
          <w:rFonts w:ascii="Arial" w:hAnsi="Arial" w:cs="Arial"/>
          <w:noProof/>
          <w:color w:val="0D0D0D"/>
          <w:spacing w:val="-5"/>
          <w:lang w:eastAsia="en-US"/>
        </w:rPr>
        <w:t>t improve significantly for the</w:t>
      </w:r>
      <w:r w:rsidRPr="000121AE">
        <w:rPr>
          <w:rFonts w:ascii="Arial" w:hAnsi="Arial" w:cs="Arial"/>
          <w:noProof/>
          <w:color w:val="0D0D0D"/>
          <w:spacing w:val="-5"/>
          <w:lang w:eastAsia="en-US"/>
        </w:rPr>
        <w:t xml:space="preserve"> situation to be corrected by warranting increases in pay rates.</w:t>
      </w:r>
      <w:r w:rsidR="00071E5B">
        <w:rPr>
          <w:rFonts w:ascii="Arial" w:hAnsi="Arial" w:cs="Arial"/>
          <w:noProof/>
          <w:color w:val="0D0D0D"/>
          <w:spacing w:val="-5"/>
          <w:lang w:eastAsia="en-US"/>
        </w:rPr>
        <w:t xml:space="preserve"> </w:t>
      </w:r>
      <w:r w:rsidRPr="000121AE">
        <w:rPr>
          <w:rFonts w:ascii="Arial" w:hAnsi="Arial" w:cs="Arial"/>
          <w:noProof/>
          <w:color w:val="0D0D0D"/>
          <w:spacing w:val="-5"/>
          <w:lang w:eastAsia="en-US"/>
        </w:rPr>
        <w:t xml:space="preserve"> In addition, the encouraging rate at which unemployment has been falling must eventually feed through into pressure for wage increases, though current views on the amount of hidden slack in the labour market probably means that this is unlikely to happen in the near future.</w:t>
      </w:r>
    </w:p>
    <w:p w14:paraId="55EEE297" w14:textId="77777777" w:rsidR="00973CB6" w:rsidRDefault="00973CB6" w:rsidP="00973CB6">
      <w:pPr>
        <w:ind w:left="720"/>
        <w:rPr>
          <w:rFonts w:ascii="Arial" w:hAnsi="Arial" w:cs="Arial"/>
          <w:noProof/>
          <w:color w:val="0D0D0D"/>
          <w:spacing w:val="-5"/>
          <w:lang w:eastAsia="en-US"/>
        </w:rPr>
      </w:pPr>
    </w:p>
    <w:p w14:paraId="2017163E" w14:textId="08FD1FE9" w:rsidR="000121AE" w:rsidRPr="000121AE" w:rsidRDefault="000121AE" w:rsidP="00973CB6">
      <w:pPr>
        <w:ind w:left="720"/>
        <w:rPr>
          <w:rFonts w:ascii="Arial" w:hAnsi="Arial" w:cs="Arial"/>
          <w:noProof/>
          <w:color w:val="0D0D0D"/>
          <w:spacing w:val="-5"/>
          <w:lang w:eastAsia="en-US"/>
        </w:rPr>
      </w:pPr>
      <w:r w:rsidRPr="000121AE">
        <w:rPr>
          <w:rFonts w:ascii="Arial" w:hAnsi="Arial" w:cs="Arial"/>
          <w:noProof/>
          <w:color w:val="0D0D0D"/>
          <w:spacing w:val="-5"/>
          <w:lang w:eastAsia="en-US"/>
        </w:rPr>
        <w:lastRenderedPageBreak/>
        <w:t>The US, the main world economy, faces similar debt problems to the UK, but</w:t>
      </w:r>
      <w:r w:rsidR="00071E5B">
        <w:rPr>
          <w:rFonts w:ascii="Arial" w:hAnsi="Arial" w:cs="Arial"/>
          <w:noProof/>
          <w:color w:val="0D0D0D"/>
          <w:spacing w:val="-5"/>
          <w:lang w:eastAsia="en-US"/>
        </w:rPr>
        <w:t>,</w:t>
      </w:r>
      <w:r w:rsidRPr="000121AE">
        <w:rPr>
          <w:rFonts w:ascii="Arial" w:hAnsi="Arial" w:cs="Arial"/>
          <w:noProof/>
          <w:color w:val="0D0D0D"/>
          <w:spacing w:val="-5"/>
          <w:lang w:eastAsia="en-US"/>
        </w:rPr>
        <w:t xml:space="preserve"> thanks to reasonable growth, cuts in government expenditure and tax rises, the annual government deficit has been halved from its peak without appearing to do too much damage to growth.   </w:t>
      </w:r>
    </w:p>
    <w:p w14:paraId="2017163F" w14:textId="77777777" w:rsidR="00E01C3F" w:rsidRPr="00626098" w:rsidRDefault="00E01C3F" w:rsidP="0083536F">
      <w:pPr>
        <w:widowControl w:val="0"/>
        <w:ind w:left="720"/>
        <w:rPr>
          <w:rFonts w:ascii="Arial" w:hAnsi="Arial" w:cs="Arial"/>
          <w:noProof/>
          <w:color w:val="FF0000"/>
        </w:rPr>
      </w:pPr>
    </w:p>
    <w:p w14:paraId="20171640" w14:textId="77777777" w:rsidR="00E01C3F" w:rsidRPr="000121AE" w:rsidRDefault="00E01C3F" w:rsidP="0083536F">
      <w:pPr>
        <w:widowControl w:val="0"/>
        <w:ind w:left="720"/>
        <w:rPr>
          <w:rFonts w:ascii="Arial" w:hAnsi="Arial" w:cs="Arial"/>
          <w:noProof/>
        </w:rPr>
      </w:pPr>
      <w:r w:rsidRPr="000121AE">
        <w:rPr>
          <w:rFonts w:ascii="Arial" w:hAnsi="Arial" w:cs="Arial"/>
          <w:noProof/>
        </w:rPr>
        <w:t>Investment returns are likely to remain relatively low during 201</w:t>
      </w:r>
      <w:r w:rsidR="006241F0" w:rsidRPr="000121AE">
        <w:rPr>
          <w:rFonts w:ascii="Arial" w:hAnsi="Arial" w:cs="Arial"/>
          <w:noProof/>
        </w:rPr>
        <w:t>5</w:t>
      </w:r>
      <w:r w:rsidRPr="000121AE">
        <w:rPr>
          <w:rFonts w:ascii="Arial" w:hAnsi="Arial" w:cs="Arial"/>
          <w:noProof/>
        </w:rPr>
        <w:t>/1</w:t>
      </w:r>
      <w:r w:rsidR="006241F0" w:rsidRPr="000121AE">
        <w:rPr>
          <w:rFonts w:ascii="Arial" w:hAnsi="Arial" w:cs="Arial"/>
          <w:noProof/>
        </w:rPr>
        <w:t>6</w:t>
      </w:r>
      <w:r w:rsidR="000121AE" w:rsidRPr="000121AE">
        <w:rPr>
          <w:rFonts w:ascii="Arial" w:hAnsi="Arial" w:cs="Arial"/>
          <w:noProof/>
        </w:rPr>
        <w:t xml:space="preserve"> and beyond</w:t>
      </w:r>
      <w:r w:rsidRPr="000121AE">
        <w:rPr>
          <w:rFonts w:ascii="Arial" w:hAnsi="Arial" w:cs="Arial"/>
          <w:noProof/>
        </w:rPr>
        <w:t>.</w:t>
      </w:r>
    </w:p>
    <w:p w14:paraId="20171641" w14:textId="77777777" w:rsidR="0083536F" w:rsidRDefault="0083536F" w:rsidP="006319AB">
      <w:pPr>
        <w:jc w:val="both"/>
        <w:rPr>
          <w:rFonts w:ascii="Arial" w:hAnsi="Arial" w:cs="Arial"/>
          <w:iCs/>
        </w:rPr>
      </w:pPr>
    </w:p>
    <w:p w14:paraId="20171642" w14:textId="77777777" w:rsidR="0083536F" w:rsidRPr="006241F0" w:rsidRDefault="0083536F" w:rsidP="0083536F">
      <w:pPr>
        <w:ind w:left="720"/>
        <w:jc w:val="both"/>
        <w:rPr>
          <w:rFonts w:ascii="Arial" w:hAnsi="Arial" w:cs="Arial"/>
          <w:b/>
          <w:i/>
          <w:color w:val="FF0000"/>
        </w:rPr>
      </w:pPr>
      <w:r w:rsidRPr="00E84FEC">
        <w:rPr>
          <w:rFonts w:ascii="Arial" w:hAnsi="Arial" w:cs="Arial"/>
          <w:b/>
          <w:iCs/>
        </w:rPr>
        <w:t>Borrowing Strategy</w:t>
      </w:r>
      <w:r w:rsidR="006241F0">
        <w:rPr>
          <w:rFonts w:ascii="Arial" w:hAnsi="Arial" w:cs="Arial"/>
          <w:b/>
          <w:iCs/>
        </w:rPr>
        <w:t xml:space="preserve"> </w:t>
      </w:r>
    </w:p>
    <w:p w14:paraId="20171643" w14:textId="77777777" w:rsidR="0083536F" w:rsidRDefault="0083536F" w:rsidP="0083536F">
      <w:pPr>
        <w:widowControl w:val="0"/>
        <w:ind w:left="720"/>
        <w:rPr>
          <w:rFonts w:ascii="Arial" w:hAnsi="Arial" w:cs="Arial"/>
          <w:snapToGrid w:val="0"/>
          <w:lang w:eastAsia="en-US"/>
        </w:rPr>
      </w:pPr>
    </w:p>
    <w:p w14:paraId="20171644" w14:textId="77777777" w:rsidR="0083536F" w:rsidRPr="000121AE" w:rsidRDefault="0083536F" w:rsidP="0083536F">
      <w:pPr>
        <w:widowControl w:val="0"/>
        <w:ind w:left="720"/>
        <w:rPr>
          <w:rFonts w:ascii="Arial" w:hAnsi="Arial" w:cs="Arial"/>
          <w:snapToGrid w:val="0"/>
          <w:lang w:eastAsia="en-US"/>
        </w:rPr>
      </w:pPr>
      <w:r w:rsidRPr="000121AE">
        <w:rPr>
          <w:rFonts w:ascii="Arial" w:hAnsi="Arial" w:cs="Arial"/>
          <w:snapToGrid w:val="0"/>
          <w:lang w:eastAsia="en-US"/>
        </w:rPr>
        <w:t>It is anticipated that any borrowing will continue to be made through the Public Works Loan Board (PWLB).</w:t>
      </w:r>
    </w:p>
    <w:p w14:paraId="20171645" w14:textId="77777777" w:rsidR="0083536F" w:rsidRPr="00626098" w:rsidRDefault="0083536F" w:rsidP="0083536F">
      <w:pPr>
        <w:widowControl w:val="0"/>
        <w:ind w:left="720"/>
        <w:rPr>
          <w:rFonts w:ascii="Arial" w:hAnsi="Arial" w:cs="Arial"/>
          <w:snapToGrid w:val="0"/>
          <w:color w:val="FF0000"/>
          <w:lang w:eastAsia="en-US"/>
        </w:rPr>
      </w:pPr>
    </w:p>
    <w:p w14:paraId="20171646" w14:textId="0D570DAB" w:rsidR="000121AE" w:rsidRPr="000121AE" w:rsidRDefault="00E01C3F" w:rsidP="00C52185">
      <w:pPr>
        <w:ind w:left="709"/>
        <w:rPr>
          <w:rFonts w:ascii="Arial" w:hAnsi="Arial" w:cs="Arial"/>
          <w:snapToGrid w:val="0"/>
          <w:lang w:eastAsia="en-US"/>
        </w:rPr>
      </w:pPr>
      <w:r w:rsidRPr="000121AE">
        <w:rPr>
          <w:rFonts w:ascii="Arial" w:hAnsi="Arial" w:cs="Arial"/>
          <w:snapToGrid w:val="0"/>
          <w:lang w:eastAsia="en-US"/>
        </w:rPr>
        <w:t xml:space="preserve">Borrowing interest rates have </w:t>
      </w:r>
      <w:r w:rsidR="000121AE" w:rsidRPr="000121AE">
        <w:rPr>
          <w:rFonts w:ascii="Arial" w:hAnsi="Arial" w:cs="Arial"/>
          <w:snapToGrid w:val="0"/>
          <w:lang w:eastAsia="en-US"/>
        </w:rPr>
        <w:t xml:space="preserve">been volatile during 2014, as alternative good news and bad news has affected financial markets. </w:t>
      </w:r>
      <w:r w:rsidR="00071E5B">
        <w:rPr>
          <w:rFonts w:ascii="Arial" w:hAnsi="Arial" w:cs="Arial"/>
          <w:snapToGrid w:val="0"/>
          <w:lang w:eastAsia="en-US"/>
        </w:rPr>
        <w:t xml:space="preserve"> </w:t>
      </w:r>
      <w:r w:rsidR="000121AE" w:rsidRPr="000121AE">
        <w:rPr>
          <w:rFonts w:ascii="Arial" w:hAnsi="Arial" w:cs="Arial"/>
          <w:snapToGrid w:val="0"/>
          <w:lang w:eastAsia="en-US"/>
        </w:rPr>
        <w:t>However a build-up of negative news in the lat</w:t>
      </w:r>
      <w:r w:rsidR="00071E5B">
        <w:rPr>
          <w:rFonts w:ascii="Arial" w:hAnsi="Arial" w:cs="Arial"/>
          <w:snapToGrid w:val="0"/>
          <w:lang w:eastAsia="en-US"/>
        </w:rPr>
        <w:t>t</w:t>
      </w:r>
      <w:r w:rsidR="000121AE" w:rsidRPr="000121AE">
        <w:rPr>
          <w:rFonts w:ascii="Arial" w:hAnsi="Arial" w:cs="Arial"/>
          <w:snapToGrid w:val="0"/>
          <w:lang w:eastAsia="en-US"/>
        </w:rPr>
        <w:t>er part of 2014 has led to an overall trend in falling rates.</w:t>
      </w:r>
    </w:p>
    <w:p w14:paraId="20171647" w14:textId="77777777" w:rsidR="000121AE" w:rsidRPr="000121AE" w:rsidRDefault="000121AE" w:rsidP="00C52185">
      <w:pPr>
        <w:ind w:left="709"/>
        <w:rPr>
          <w:rFonts w:ascii="Arial" w:hAnsi="Arial" w:cs="Arial"/>
          <w:snapToGrid w:val="0"/>
          <w:lang w:eastAsia="en-US"/>
        </w:rPr>
      </w:pPr>
    </w:p>
    <w:p w14:paraId="20171648" w14:textId="77777777" w:rsidR="00E01C3F" w:rsidRPr="000121AE" w:rsidRDefault="00E01C3F" w:rsidP="00C52185">
      <w:pPr>
        <w:ind w:left="709"/>
        <w:rPr>
          <w:rFonts w:ascii="Arial" w:hAnsi="Arial" w:cs="Arial"/>
          <w:noProof/>
          <w:spacing w:val="-5"/>
          <w:lang w:eastAsia="en-US"/>
        </w:rPr>
      </w:pPr>
      <w:r w:rsidRPr="000121AE">
        <w:rPr>
          <w:rFonts w:ascii="Arial" w:hAnsi="Arial" w:cs="Arial"/>
          <w:noProof/>
          <w:spacing w:val="-5"/>
          <w:lang w:eastAsia="en-US"/>
        </w:rPr>
        <w:t>The policy of avoiding new borrowing by running down spare cash balances has served well over the last few years.  However, this needs to be carefully reviewed to avoid incurring even higher borrowing costs</w:t>
      </w:r>
      <w:r w:rsidR="00C52185" w:rsidRPr="000121AE">
        <w:rPr>
          <w:rFonts w:ascii="Arial" w:hAnsi="Arial" w:cs="Arial"/>
          <w:noProof/>
          <w:spacing w:val="-5"/>
          <w:lang w:eastAsia="en-US"/>
        </w:rPr>
        <w:t>.</w:t>
      </w:r>
    </w:p>
    <w:p w14:paraId="20171649" w14:textId="77777777" w:rsidR="000121AE" w:rsidRPr="000121AE" w:rsidRDefault="000121AE" w:rsidP="00C52185">
      <w:pPr>
        <w:ind w:left="709"/>
        <w:rPr>
          <w:rFonts w:ascii="Arial" w:hAnsi="Arial" w:cs="Arial"/>
          <w:noProof/>
          <w:spacing w:val="-5"/>
          <w:lang w:eastAsia="en-US"/>
        </w:rPr>
      </w:pPr>
    </w:p>
    <w:p w14:paraId="2017164A" w14:textId="77777777" w:rsidR="00E01C3F" w:rsidRPr="000121AE" w:rsidRDefault="00E01C3F" w:rsidP="00C52185">
      <w:pPr>
        <w:ind w:left="709"/>
        <w:rPr>
          <w:rFonts w:ascii="Arial" w:hAnsi="Arial" w:cs="Arial"/>
          <w:noProof/>
          <w:spacing w:val="-5"/>
          <w:lang w:eastAsia="en-US"/>
        </w:rPr>
      </w:pPr>
      <w:r w:rsidRPr="000121AE">
        <w:rPr>
          <w:rFonts w:ascii="Arial" w:hAnsi="Arial" w:cs="Arial"/>
          <w:noProof/>
          <w:spacing w:val="-5"/>
          <w:lang w:eastAsia="en-US"/>
        </w:rPr>
        <w:t>There will remain a cost to any new borrowing</w:t>
      </w:r>
      <w:r w:rsidR="00E85D03" w:rsidRPr="000121AE">
        <w:rPr>
          <w:rFonts w:ascii="Arial" w:hAnsi="Arial" w:cs="Arial"/>
          <w:noProof/>
          <w:spacing w:val="-5"/>
          <w:lang w:eastAsia="en-US"/>
        </w:rPr>
        <w:t>,</w:t>
      </w:r>
      <w:r w:rsidRPr="000121AE">
        <w:rPr>
          <w:rFonts w:ascii="Arial" w:hAnsi="Arial" w:cs="Arial"/>
          <w:noProof/>
          <w:spacing w:val="-5"/>
          <w:lang w:eastAsia="en-US"/>
        </w:rPr>
        <w:t xml:space="preserve"> which causes an increase in investments</w:t>
      </w:r>
      <w:r w:rsidR="00E85D03" w:rsidRPr="000121AE">
        <w:rPr>
          <w:rFonts w:ascii="Arial" w:hAnsi="Arial" w:cs="Arial"/>
          <w:noProof/>
          <w:spacing w:val="-5"/>
          <w:lang w:eastAsia="en-US"/>
        </w:rPr>
        <w:t>,</w:t>
      </w:r>
      <w:r w:rsidRPr="000121AE">
        <w:rPr>
          <w:rFonts w:ascii="Arial" w:hAnsi="Arial" w:cs="Arial"/>
          <w:noProof/>
          <w:spacing w:val="-5"/>
          <w:lang w:eastAsia="en-US"/>
        </w:rPr>
        <w:t xml:space="preserve"> as this will incur a revenue loss between borrowing costs and investment returns.</w:t>
      </w:r>
    </w:p>
    <w:p w14:paraId="2017164B" w14:textId="77777777" w:rsidR="00E01C3F" w:rsidRPr="000121AE" w:rsidRDefault="00E01C3F" w:rsidP="00C52185">
      <w:pPr>
        <w:ind w:left="709"/>
        <w:jc w:val="both"/>
        <w:rPr>
          <w:rFonts w:ascii="Arial" w:hAnsi="Arial" w:cs="Arial"/>
          <w:noProof/>
          <w:spacing w:val="-5"/>
          <w:sz w:val="22"/>
          <w:szCs w:val="22"/>
          <w:lang w:eastAsia="en-US"/>
        </w:rPr>
      </w:pPr>
    </w:p>
    <w:p w14:paraId="2017164C" w14:textId="77777777" w:rsidR="0083536F" w:rsidRPr="00E84FEC" w:rsidRDefault="00E01C3F" w:rsidP="00C52185">
      <w:pPr>
        <w:ind w:left="709"/>
        <w:jc w:val="both"/>
        <w:rPr>
          <w:rFonts w:ascii="Arial" w:hAnsi="Arial" w:cs="Arial"/>
          <w:b/>
          <w:snapToGrid w:val="0"/>
          <w:lang w:eastAsia="en-US"/>
        </w:rPr>
      </w:pPr>
      <w:r>
        <w:rPr>
          <w:rFonts w:ascii="Arial" w:hAnsi="Arial" w:cs="Arial"/>
          <w:b/>
          <w:snapToGrid w:val="0"/>
          <w:lang w:eastAsia="en-US"/>
        </w:rPr>
        <w:t>E</w:t>
      </w:r>
      <w:r w:rsidR="0083536F" w:rsidRPr="00E84FEC">
        <w:rPr>
          <w:rFonts w:ascii="Arial" w:hAnsi="Arial" w:cs="Arial"/>
          <w:b/>
          <w:snapToGrid w:val="0"/>
          <w:lang w:eastAsia="en-US"/>
        </w:rPr>
        <w:t>xternal v</w:t>
      </w:r>
      <w:r w:rsidR="0083536F">
        <w:rPr>
          <w:rFonts w:ascii="Arial" w:hAnsi="Arial" w:cs="Arial"/>
          <w:b/>
          <w:snapToGrid w:val="0"/>
          <w:lang w:eastAsia="en-US"/>
        </w:rPr>
        <w:t>ersu</w:t>
      </w:r>
      <w:r w:rsidR="0083536F" w:rsidRPr="00E84FEC">
        <w:rPr>
          <w:rFonts w:ascii="Arial" w:hAnsi="Arial" w:cs="Arial"/>
          <w:b/>
          <w:snapToGrid w:val="0"/>
          <w:lang w:eastAsia="en-US"/>
        </w:rPr>
        <w:t>s Internal Borrowing</w:t>
      </w:r>
    </w:p>
    <w:p w14:paraId="2017164D" w14:textId="77777777" w:rsidR="0083536F" w:rsidRPr="00A84535" w:rsidRDefault="0083536F" w:rsidP="00C52185">
      <w:pPr>
        <w:widowControl w:val="0"/>
        <w:rPr>
          <w:rFonts w:ascii="Arial" w:hAnsi="Arial" w:cs="Arial"/>
          <w:snapToGrid w:val="0"/>
          <w:sz w:val="22"/>
          <w:szCs w:val="22"/>
          <w:lang w:eastAsia="en-US"/>
        </w:rPr>
      </w:pPr>
    </w:p>
    <w:p w14:paraId="2017164E" w14:textId="77777777" w:rsidR="0083536F" w:rsidRDefault="0083536F" w:rsidP="00C52185">
      <w:pPr>
        <w:widowControl w:val="0"/>
        <w:ind w:left="720"/>
        <w:rPr>
          <w:rFonts w:ascii="Arial" w:hAnsi="Arial" w:cs="Arial"/>
          <w:snapToGrid w:val="0"/>
          <w:lang w:eastAsia="en-US"/>
        </w:rPr>
      </w:pPr>
      <w:r>
        <w:rPr>
          <w:rFonts w:ascii="Arial" w:hAnsi="Arial" w:cs="Arial"/>
          <w:snapToGrid w:val="0"/>
          <w:lang w:eastAsia="en-US"/>
        </w:rPr>
        <w:t>The Fire Authority’s approach to borrowing ha</w:t>
      </w:r>
      <w:r w:rsidR="002D297B">
        <w:rPr>
          <w:rFonts w:ascii="Arial" w:hAnsi="Arial" w:cs="Arial"/>
          <w:snapToGrid w:val="0"/>
          <w:lang w:eastAsia="en-US"/>
        </w:rPr>
        <w:t>s</w:t>
      </w:r>
      <w:r>
        <w:rPr>
          <w:rFonts w:ascii="Arial" w:hAnsi="Arial" w:cs="Arial"/>
          <w:snapToGrid w:val="0"/>
          <w:lang w:eastAsia="en-US"/>
        </w:rPr>
        <w:t xml:space="preserve"> continued to be the use of cash surpluses and reserves to finance new capital expenditure, so as to run down cash balances and minimise counterparty risk incurred on investments.  Therefore, any new borrowing over the next few years is unlikely, and lower levels of cash will be available for investment.</w:t>
      </w:r>
    </w:p>
    <w:p w14:paraId="2017164F" w14:textId="77777777" w:rsidR="0083536F" w:rsidRPr="00A84535" w:rsidRDefault="0083536F" w:rsidP="00C52185">
      <w:pPr>
        <w:widowControl w:val="0"/>
        <w:ind w:left="720"/>
        <w:rPr>
          <w:rFonts w:ascii="Arial" w:hAnsi="Arial" w:cs="Arial"/>
          <w:snapToGrid w:val="0"/>
          <w:sz w:val="22"/>
          <w:szCs w:val="22"/>
          <w:lang w:eastAsia="en-US"/>
        </w:rPr>
      </w:pPr>
    </w:p>
    <w:p w14:paraId="20171650" w14:textId="77777777" w:rsidR="0083536F" w:rsidRPr="00E84FEC" w:rsidRDefault="0083536F" w:rsidP="0083536F">
      <w:pPr>
        <w:widowControl w:val="0"/>
        <w:ind w:left="720"/>
        <w:rPr>
          <w:rFonts w:ascii="Arial" w:hAnsi="Arial" w:cs="Arial"/>
          <w:b/>
          <w:snapToGrid w:val="0"/>
          <w:lang w:eastAsia="en-US"/>
        </w:rPr>
      </w:pPr>
      <w:r w:rsidRPr="00E84FEC">
        <w:rPr>
          <w:rFonts w:ascii="Arial" w:hAnsi="Arial" w:cs="Arial"/>
          <w:b/>
          <w:snapToGrid w:val="0"/>
          <w:lang w:eastAsia="en-US"/>
        </w:rPr>
        <w:t>Investment Strategy</w:t>
      </w:r>
    </w:p>
    <w:p w14:paraId="20171651" w14:textId="77777777" w:rsidR="0083536F" w:rsidRPr="00A84535" w:rsidRDefault="0083536F" w:rsidP="0083536F">
      <w:pPr>
        <w:widowControl w:val="0"/>
        <w:ind w:left="720"/>
        <w:rPr>
          <w:rFonts w:ascii="Arial" w:hAnsi="Arial" w:cs="Arial"/>
          <w:snapToGrid w:val="0"/>
          <w:sz w:val="22"/>
          <w:szCs w:val="22"/>
          <w:lang w:eastAsia="en-US"/>
        </w:rPr>
      </w:pPr>
    </w:p>
    <w:p w14:paraId="20171652" w14:textId="77777777" w:rsidR="0083536F" w:rsidRDefault="0083536F" w:rsidP="0083536F">
      <w:pPr>
        <w:widowControl w:val="0"/>
        <w:ind w:left="720"/>
        <w:rPr>
          <w:rFonts w:ascii="Arial" w:hAnsi="Arial" w:cs="Arial"/>
          <w:snapToGrid w:val="0"/>
          <w:lang w:eastAsia="en-US"/>
        </w:rPr>
      </w:pPr>
      <w:r w:rsidRPr="00E84FEC">
        <w:rPr>
          <w:rFonts w:ascii="Arial" w:hAnsi="Arial" w:cs="Arial"/>
          <w:snapToGrid w:val="0"/>
          <w:lang w:eastAsia="en-US"/>
        </w:rPr>
        <w:t>The Fire</w:t>
      </w:r>
      <w:r>
        <w:rPr>
          <w:rFonts w:ascii="Arial" w:hAnsi="Arial" w:cs="Arial"/>
          <w:snapToGrid w:val="0"/>
          <w:lang w:eastAsia="en-US"/>
        </w:rPr>
        <w:t xml:space="preserve"> Authority’s</w:t>
      </w:r>
      <w:r w:rsidRPr="00CA5D74">
        <w:rPr>
          <w:rFonts w:ascii="Arial" w:hAnsi="Arial" w:cs="Arial"/>
          <w:noProof/>
        </w:rPr>
        <w:t xml:space="preserve"> investment policy </w:t>
      </w:r>
      <w:r>
        <w:rPr>
          <w:rFonts w:ascii="Arial" w:hAnsi="Arial" w:cs="Arial"/>
          <w:noProof/>
        </w:rPr>
        <w:t xml:space="preserve">will have </w:t>
      </w:r>
      <w:r w:rsidRPr="00CA5D74">
        <w:rPr>
          <w:rFonts w:ascii="Arial" w:hAnsi="Arial" w:cs="Arial"/>
          <w:noProof/>
        </w:rPr>
        <w:t>regard to C</w:t>
      </w:r>
      <w:r>
        <w:rPr>
          <w:rFonts w:ascii="Arial" w:hAnsi="Arial" w:cs="Arial"/>
          <w:noProof/>
        </w:rPr>
        <w:t>ommunities and Local Government (CLG)</w:t>
      </w:r>
      <w:r w:rsidRPr="00CA5D74">
        <w:rPr>
          <w:rFonts w:ascii="Arial" w:hAnsi="Arial" w:cs="Arial"/>
          <w:noProof/>
        </w:rPr>
        <w:t xml:space="preserve"> Guidance on</w:t>
      </w:r>
      <w:r>
        <w:rPr>
          <w:rFonts w:ascii="Arial" w:hAnsi="Arial" w:cs="Arial"/>
          <w:noProof/>
        </w:rPr>
        <w:t xml:space="preserve"> Local Government Investments (the Guidance</w:t>
      </w:r>
      <w:r w:rsidRPr="00CA5D74">
        <w:rPr>
          <w:rFonts w:ascii="Arial" w:hAnsi="Arial" w:cs="Arial"/>
          <w:noProof/>
        </w:rPr>
        <w:t xml:space="preserve">) and the 2011 revised CIPFA Treasury Management in Public Services Code of Practice and </w:t>
      </w:r>
      <w:r>
        <w:rPr>
          <w:rFonts w:ascii="Arial" w:hAnsi="Arial" w:cs="Arial"/>
          <w:noProof/>
        </w:rPr>
        <w:t>Cross Sectoral Guidance Notes (the CIPFA TM Code</w:t>
      </w:r>
      <w:r w:rsidRPr="00CA5D74">
        <w:rPr>
          <w:rFonts w:ascii="Arial" w:hAnsi="Arial" w:cs="Arial"/>
          <w:noProof/>
        </w:rPr>
        <w:t xml:space="preserve">).  </w:t>
      </w:r>
    </w:p>
    <w:p w14:paraId="20171653" w14:textId="77777777" w:rsidR="0083536F" w:rsidRPr="00A84535" w:rsidRDefault="0083536F" w:rsidP="0083536F">
      <w:pPr>
        <w:widowControl w:val="0"/>
        <w:ind w:left="720"/>
        <w:rPr>
          <w:rFonts w:ascii="Arial" w:hAnsi="Arial" w:cs="Arial"/>
          <w:snapToGrid w:val="0"/>
          <w:sz w:val="22"/>
          <w:szCs w:val="22"/>
          <w:lang w:eastAsia="en-US"/>
        </w:rPr>
      </w:pPr>
    </w:p>
    <w:p w14:paraId="20171654" w14:textId="77777777" w:rsidR="0083536F" w:rsidRPr="00E84FEC" w:rsidRDefault="0083536F" w:rsidP="00E85D03">
      <w:pPr>
        <w:widowControl w:val="0"/>
        <w:ind w:left="720"/>
        <w:rPr>
          <w:rFonts w:ascii="Arial" w:hAnsi="Arial" w:cs="Arial"/>
          <w:snapToGrid w:val="0"/>
          <w:lang w:eastAsia="en-US"/>
        </w:rPr>
      </w:pPr>
      <w:r w:rsidRPr="00E84FEC">
        <w:rPr>
          <w:rFonts w:ascii="Arial" w:hAnsi="Arial" w:cs="Arial"/>
          <w:snapToGrid w:val="0"/>
          <w:lang w:eastAsia="en-US"/>
        </w:rPr>
        <w:t>The Fire Authority’s investment priorities are:</w:t>
      </w:r>
    </w:p>
    <w:p w14:paraId="20171655" w14:textId="77777777" w:rsidR="0083536F" w:rsidRPr="00E84FEC" w:rsidRDefault="0083536F" w:rsidP="00973CB6">
      <w:pPr>
        <w:widowControl w:val="0"/>
        <w:numPr>
          <w:ilvl w:val="2"/>
          <w:numId w:val="26"/>
        </w:numPr>
        <w:tabs>
          <w:tab w:val="clear" w:pos="3420"/>
          <w:tab w:val="num" w:pos="1701"/>
        </w:tabs>
        <w:ind w:left="2268" w:hanging="1134"/>
        <w:rPr>
          <w:rFonts w:ascii="Arial" w:hAnsi="Arial" w:cs="Arial"/>
          <w:snapToGrid w:val="0"/>
          <w:lang w:eastAsia="en-US"/>
        </w:rPr>
      </w:pPr>
      <w:r w:rsidRPr="00E84FEC">
        <w:rPr>
          <w:rFonts w:ascii="Arial" w:hAnsi="Arial" w:cs="Arial"/>
          <w:snapToGrid w:val="0"/>
          <w:lang w:eastAsia="en-US"/>
        </w:rPr>
        <w:t xml:space="preserve">Firstly, the security of capital; and </w:t>
      </w:r>
    </w:p>
    <w:p w14:paraId="20171656" w14:textId="77777777" w:rsidR="0083536F" w:rsidRPr="00E84FEC" w:rsidRDefault="0083536F" w:rsidP="00973CB6">
      <w:pPr>
        <w:widowControl w:val="0"/>
        <w:numPr>
          <w:ilvl w:val="2"/>
          <w:numId w:val="26"/>
        </w:numPr>
        <w:tabs>
          <w:tab w:val="clear" w:pos="3420"/>
          <w:tab w:val="num" w:pos="1701"/>
        </w:tabs>
        <w:ind w:left="2268" w:hanging="1134"/>
        <w:rPr>
          <w:rFonts w:ascii="Arial" w:hAnsi="Arial" w:cs="Arial"/>
          <w:snapToGrid w:val="0"/>
          <w:lang w:eastAsia="en-US"/>
        </w:rPr>
      </w:pPr>
      <w:r w:rsidRPr="00E84FEC">
        <w:rPr>
          <w:rFonts w:ascii="Arial" w:hAnsi="Arial" w:cs="Arial"/>
          <w:snapToGrid w:val="0"/>
          <w:lang w:eastAsia="en-US"/>
        </w:rPr>
        <w:t>Secondly, the liquidity of its investments.</w:t>
      </w:r>
    </w:p>
    <w:p w14:paraId="20171657" w14:textId="77777777" w:rsidR="0083536F" w:rsidRPr="00A84535" w:rsidRDefault="0083536F" w:rsidP="00973CB6">
      <w:pPr>
        <w:widowControl w:val="0"/>
        <w:tabs>
          <w:tab w:val="num" w:pos="2127"/>
        </w:tabs>
        <w:ind w:left="720" w:hanging="850"/>
        <w:rPr>
          <w:rFonts w:ascii="Arial" w:hAnsi="Arial" w:cs="Arial"/>
          <w:snapToGrid w:val="0"/>
          <w:sz w:val="22"/>
          <w:szCs w:val="22"/>
          <w:lang w:eastAsia="en-US"/>
        </w:rPr>
      </w:pPr>
    </w:p>
    <w:p w14:paraId="20171658" w14:textId="77777777" w:rsidR="0083536F" w:rsidRDefault="0083536F" w:rsidP="0083536F">
      <w:pPr>
        <w:widowControl w:val="0"/>
        <w:ind w:left="720"/>
        <w:rPr>
          <w:rFonts w:ascii="Arial" w:hAnsi="Arial" w:cs="Arial"/>
          <w:snapToGrid w:val="0"/>
          <w:lang w:eastAsia="en-US"/>
        </w:rPr>
      </w:pPr>
      <w:r w:rsidRPr="00E84FEC">
        <w:rPr>
          <w:rFonts w:ascii="Arial" w:hAnsi="Arial" w:cs="Arial"/>
          <w:snapToGrid w:val="0"/>
          <w:lang w:eastAsia="en-US"/>
        </w:rPr>
        <w:t>The Fire Authority will also aim to achieve the optimum return on its investments within the primary objectives of security and liquidity.</w:t>
      </w:r>
    </w:p>
    <w:p w14:paraId="20171659" w14:textId="77777777" w:rsidR="0083536F" w:rsidRPr="00A84535" w:rsidRDefault="0083536F" w:rsidP="0083536F">
      <w:pPr>
        <w:widowControl w:val="0"/>
        <w:ind w:left="720"/>
        <w:rPr>
          <w:rFonts w:ascii="Arial" w:hAnsi="Arial" w:cs="Arial"/>
          <w:snapToGrid w:val="0"/>
          <w:sz w:val="22"/>
          <w:szCs w:val="22"/>
          <w:lang w:eastAsia="en-US"/>
        </w:rPr>
      </w:pPr>
    </w:p>
    <w:p w14:paraId="2017165A" w14:textId="77777777" w:rsidR="0083536F" w:rsidRPr="00E84FEC" w:rsidRDefault="0083536F" w:rsidP="0083536F">
      <w:pPr>
        <w:widowControl w:val="0"/>
        <w:ind w:left="720"/>
        <w:rPr>
          <w:rFonts w:ascii="Arial" w:hAnsi="Arial" w:cs="Arial"/>
          <w:snapToGrid w:val="0"/>
          <w:lang w:eastAsia="en-US"/>
        </w:rPr>
      </w:pPr>
      <w:r w:rsidRPr="00E84FEC">
        <w:rPr>
          <w:rFonts w:ascii="Arial" w:hAnsi="Arial" w:cs="Arial"/>
          <w:snapToGrid w:val="0"/>
          <w:lang w:eastAsia="en-US"/>
        </w:rPr>
        <w:t xml:space="preserve">The borrowing of monies purely to invest or on-lend and make a return is unlawful and </w:t>
      </w:r>
      <w:r>
        <w:rPr>
          <w:rFonts w:ascii="Arial" w:hAnsi="Arial" w:cs="Arial"/>
          <w:snapToGrid w:val="0"/>
          <w:lang w:eastAsia="en-US"/>
        </w:rPr>
        <w:t>will not be undertaken.</w:t>
      </w:r>
    </w:p>
    <w:p w14:paraId="2017165C" w14:textId="5FB40E52" w:rsidR="0083536F" w:rsidRPr="00E84FEC" w:rsidRDefault="0083536F" w:rsidP="0083536F">
      <w:pPr>
        <w:widowControl w:val="0"/>
        <w:ind w:left="720"/>
        <w:rPr>
          <w:rFonts w:ascii="Arial" w:hAnsi="Arial" w:cs="Arial"/>
          <w:snapToGrid w:val="0"/>
          <w:lang w:eastAsia="en-US"/>
        </w:rPr>
      </w:pPr>
      <w:r w:rsidRPr="00E84FEC">
        <w:rPr>
          <w:rFonts w:ascii="Arial" w:hAnsi="Arial" w:cs="Arial"/>
          <w:snapToGrid w:val="0"/>
          <w:lang w:eastAsia="en-US"/>
        </w:rPr>
        <w:lastRenderedPageBreak/>
        <w:t>This is the initial strategy for 201</w:t>
      </w:r>
      <w:r w:rsidR="002D297B">
        <w:rPr>
          <w:rFonts w:ascii="Arial" w:hAnsi="Arial" w:cs="Arial"/>
          <w:snapToGrid w:val="0"/>
          <w:lang w:eastAsia="en-US"/>
        </w:rPr>
        <w:t>5</w:t>
      </w:r>
      <w:r w:rsidRPr="00E84FEC">
        <w:rPr>
          <w:rFonts w:ascii="Arial" w:hAnsi="Arial" w:cs="Arial"/>
          <w:snapToGrid w:val="0"/>
          <w:lang w:eastAsia="en-US"/>
        </w:rPr>
        <w:t>/1</w:t>
      </w:r>
      <w:r w:rsidR="002D297B">
        <w:rPr>
          <w:rFonts w:ascii="Arial" w:hAnsi="Arial" w:cs="Arial"/>
          <w:snapToGrid w:val="0"/>
          <w:lang w:eastAsia="en-US"/>
        </w:rPr>
        <w:t>6</w:t>
      </w:r>
      <w:r w:rsidRPr="00E84FEC">
        <w:rPr>
          <w:rFonts w:ascii="Arial" w:hAnsi="Arial" w:cs="Arial"/>
          <w:snapToGrid w:val="0"/>
          <w:lang w:eastAsia="en-US"/>
        </w:rPr>
        <w:t>, and will only be revised by approval of the Fire Authority, should there be significant improvement in the position of current lending uncertainties.</w:t>
      </w:r>
    </w:p>
    <w:p w14:paraId="2017165D" w14:textId="77777777" w:rsidR="0083536F" w:rsidRPr="00A84535" w:rsidRDefault="0083536F" w:rsidP="0083536F">
      <w:pPr>
        <w:widowControl w:val="0"/>
        <w:ind w:left="720"/>
        <w:rPr>
          <w:rFonts w:ascii="Arial" w:hAnsi="Arial" w:cs="Arial"/>
          <w:snapToGrid w:val="0"/>
          <w:sz w:val="22"/>
          <w:szCs w:val="22"/>
          <w:lang w:eastAsia="en-US"/>
        </w:rPr>
      </w:pPr>
    </w:p>
    <w:p w14:paraId="2017165E" w14:textId="77777777" w:rsidR="0083536F" w:rsidRPr="00E84FEC" w:rsidRDefault="0083536F" w:rsidP="0083536F">
      <w:pPr>
        <w:widowControl w:val="0"/>
        <w:ind w:left="720"/>
        <w:rPr>
          <w:rFonts w:ascii="Arial" w:hAnsi="Arial" w:cs="Arial"/>
          <w:snapToGrid w:val="0"/>
          <w:lang w:eastAsia="en-US"/>
        </w:rPr>
      </w:pPr>
      <w:r w:rsidRPr="00E84FEC">
        <w:rPr>
          <w:rFonts w:ascii="Arial" w:hAnsi="Arial" w:cs="Arial"/>
          <w:snapToGrid w:val="0"/>
          <w:lang w:eastAsia="en-US"/>
        </w:rPr>
        <w:t xml:space="preserve">The Fire Authority will only lend to bodies of high credit quality, that is, the UK Government, local authorities or counter parties with a credit rating acceptable to Shropshire Council and endorsed by </w:t>
      </w:r>
      <w:r>
        <w:rPr>
          <w:rFonts w:ascii="Arial" w:hAnsi="Arial" w:cs="Arial"/>
          <w:snapToGrid w:val="0"/>
          <w:lang w:eastAsia="en-US"/>
        </w:rPr>
        <w:t>the</w:t>
      </w:r>
      <w:r w:rsidRPr="00E84FEC">
        <w:rPr>
          <w:rFonts w:ascii="Arial" w:hAnsi="Arial" w:cs="Arial"/>
          <w:snapToGrid w:val="0"/>
          <w:lang w:eastAsia="en-US"/>
        </w:rPr>
        <w:t xml:space="preserve"> Treasurer, or which effectively take on the creditworthiness of the UK Government itself.</w:t>
      </w:r>
    </w:p>
    <w:p w14:paraId="2D967D6A" w14:textId="77777777" w:rsidR="00D44BFE" w:rsidRPr="00A84535" w:rsidRDefault="00D44BFE" w:rsidP="0083536F">
      <w:pPr>
        <w:widowControl w:val="0"/>
        <w:ind w:left="720"/>
        <w:rPr>
          <w:rFonts w:ascii="Arial" w:hAnsi="Arial" w:cs="Arial"/>
          <w:snapToGrid w:val="0"/>
          <w:sz w:val="22"/>
          <w:szCs w:val="22"/>
          <w:lang w:eastAsia="en-US"/>
        </w:rPr>
      </w:pPr>
    </w:p>
    <w:p w14:paraId="20171660" w14:textId="77777777" w:rsidR="0083536F" w:rsidRPr="00E84FEC" w:rsidRDefault="0083536F" w:rsidP="0083536F">
      <w:pPr>
        <w:widowControl w:val="0"/>
        <w:ind w:left="720"/>
        <w:rPr>
          <w:rFonts w:ascii="Arial" w:hAnsi="Arial" w:cs="Arial"/>
          <w:snapToGrid w:val="0"/>
          <w:lang w:eastAsia="en-US"/>
        </w:rPr>
      </w:pPr>
      <w:r w:rsidRPr="00E84FEC">
        <w:rPr>
          <w:rFonts w:ascii="Arial" w:hAnsi="Arial" w:cs="Arial"/>
          <w:snapToGrid w:val="0"/>
          <w:lang w:eastAsia="en-US"/>
        </w:rPr>
        <w:t>The Fire Authority employs Shropshire Council to manage its investments, and they:</w:t>
      </w:r>
    </w:p>
    <w:p w14:paraId="20171661" w14:textId="77777777" w:rsidR="0083536F" w:rsidRPr="00E84FEC" w:rsidRDefault="0083536F" w:rsidP="00973CB6">
      <w:pPr>
        <w:widowControl w:val="0"/>
        <w:numPr>
          <w:ilvl w:val="0"/>
          <w:numId w:val="30"/>
        </w:numPr>
        <w:tabs>
          <w:tab w:val="clear" w:pos="2478"/>
          <w:tab w:val="num" w:pos="1701"/>
        </w:tabs>
        <w:ind w:left="2268" w:hanging="1134"/>
        <w:rPr>
          <w:rFonts w:ascii="Arial" w:hAnsi="Arial" w:cs="Arial"/>
          <w:snapToGrid w:val="0"/>
          <w:lang w:eastAsia="en-US"/>
        </w:rPr>
      </w:pPr>
      <w:r>
        <w:rPr>
          <w:rFonts w:ascii="Arial" w:hAnsi="Arial" w:cs="Arial"/>
          <w:snapToGrid w:val="0"/>
          <w:lang w:eastAsia="en-US"/>
        </w:rPr>
        <w:t>U</w:t>
      </w:r>
      <w:r w:rsidRPr="00E84FEC">
        <w:rPr>
          <w:rFonts w:ascii="Arial" w:hAnsi="Arial" w:cs="Arial"/>
          <w:snapToGrid w:val="0"/>
          <w:lang w:eastAsia="en-US"/>
        </w:rPr>
        <w:t>se three credit rating agencies</w:t>
      </w:r>
      <w:r>
        <w:rPr>
          <w:rFonts w:ascii="Arial" w:hAnsi="Arial" w:cs="Arial"/>
          <w:snapToGrid w:val="0"/>
          <w:lang w:eastAsia="en-US"/>
        </w:rPr>
        <w:t>;</w:t>
      </w:r>
    </w:p>
    <w:p w14:paraId="20171662" w14:textId="77777777" w:rsidR="0083536F" w:rsidRPr="00E84FEC" w:rsidRDefault="0083536F" w:rsidP="00973CB6">
      <w:pPr>
        <w:widowControl w:val="0"/>
        <w:numPr>
          <w:ilvl w:val="0"/>
          <w:numId w:val="30"/>
        </w:numPr>
        <w:tabs>
          <w:tab w:val="clear" w:pos="2478"/>
          <w:tab w:val="num" w:pos="1701"/>
        </w:tabs>
        <w:ind w:left="2268" w:hanging="1134"/>
        <w:rPr>
          <w:rFonts w:ascii="Arial" w:hAnsi="Arial" w:cs="Arial"/>
          <w:snapToGrid w:val="0"/>
          <w:lang w:eastAsia="en-US"/>
        </w:rPr>
      </w:pPr>
      <w:r>
        <w:rPr>
          <w:rFonts w:ascii="Arial" w:hAnsi="Arial" w:cs="Arial"/>
          <w:snapToGrid w:val="0"/>
          <w:lang w:eastAsia="en-US"/>
        </w:rPr>
        <w:t>A</w:t>
      </w:r>
      <w:r w:rsidRPr="00E84FEC">
        <w:rPr>
          <w:rFonts w:ascii="Arial" w:hAnsi="Arial" w:cs="Arial"/>
          <w:snapToGrid w:val="0"/>
          <w:lang w:eastAsia="en-US"/>
        </w:rPr>
        <w:t>re advised by investment consultants</w:t>
      </w:r>
      <w:r>
        <w:rPr>
          <w:rFonts w:ascii="Arial" w:hAnsi="Arial" w:cs="Arial"/>
          <w:snapToGrid w:val="0"/>
          <w:lang w:eastAsia="en-US"/>
        </w:rPr>
        <w:t>;</w:t>
      </w:r>
    </w:p>
    <w:p w14:paraId="20171663" w14:textId="77777777" w:rsidR="0083536F" w:rsidRPr="00E84FEC" w:rsidRDefault="0083536F" w:rsidP="00973CB6">
      <w:pPr>
        <w:widowControl w:val="0"/>
        <w:numPr>
          <w:ilvl w:val="0"/>
          <w:numId w:val="30"/>
        </w:numPr>
        <w:tabs>
          <w:tab w:val="clear" w:pos="2478"/>
          <w:tab w:val="num" w:pos="1701"/>
        </w:tabs>
        <w:ind w:left="2268" w:hanging="1134"/>
        <w:rPr>
          <w:rFonts w:ascii="Arial" w:hAnsi="Arial" w:cs="Arial"/>
          <w:snapToGrid w:val="0"/>
          <w:lang w:eastAsia="en-US"/>
        </w:rPr>
      </w:pPr>
      <w:r>
        <w:rPr>
          <w:rFonts w:ascii="Arial" w:hAnsi="Arial" w:cs="Arial"/>
          <w:snapToGrid w:val="0"/>
          <w:lang w:eastAsia="en-US"/>
        </w:rPr>
        <w:t>M</w:t>
      </w:r>
      <w:r w:rsidRPr="00E84FEC">
        <w:rPr>
          <w:rFonts w:ascii="Arial" w:hAnsi="Arial" w:cs="Arial"/>
          <w:snapToGrid w:val="0"/>
          <w:lang w:eastAsia="en-US"/>
        </w:rPr>
        <w:t>onitor and review creditworthiness regularly</w:t>
      </w:r>
      <w:r>
        <w:rPr>
          <w:rFonts w:ascii="Arial" w:hAnsi="Arial" w:cs="Arial"/>
          <w:snapToGrid w:val="0"/>
          <w:lang w:eastAsia="en-US"/>
        </w:rPr>
        <w:t>; and</w:t>
      </w:r>
    </w:p>
    <w:p w14:paraId="20171664" w14:textId="77777777" w:rsidR="0083536F" w:rsidRPr="00E84FEC" w:rsidRDefault="0083536F" w:rsidP="00973CB6">
      <w:pPr>
        <w:widowControl w:val="0"/>
        <w:numPr>
          <w:ilvl w:val="0"/>
          <w:numId w:val="30"/>
        </w:numPr>
        <w:tabs>
          <w:tab w:val="clear" w:pos="2478"/>
          <w:tab w:val="num" w:pos="1701"/>
        </w:tabs>
        <w:ind w:left="2268" w:hanging="1134"/>
        <w:rPr>
          <w:rFonts w:ascii="Arial" w:hAnsi="Arial" w:cs="Arial"/>
          <w:snapToGrid w:val="0"/>
          <w:lang w:eastAsia="en-US"/>
        </w:rPr>
      </w:pPr>
      <w:r>
        <w:rPr>
          <w:rFonts w:ascii="Arial" w:hAnsi="Arial" w:cs="Arial"/>
          <w:snapToGrid w:val="0"/>
          <w:lang w:eastAsia="en-US"/>
        </w:rPr>
        <w:t>P</w:t>
      </w:r>
      <w:r w:rsidRPr="00E84FEC">
        <w:rPr>
          <w:rFonts w:ascii="Arial" w:hAnsi="Arial" w:cs="Arial"/>
          <w:snapToGrid w:val="0"/>
          <w:lang w:eastAsia="en-US"/>
        </w:rPr>
        <w:t>rovide appropriate training to Treasury Management staff.</w:t>
      </w:r>
    </w:p>
    <w:p w14:paraId="20171665" w14:textId="77777777" w:rsidR="0083536F" w:rsidRPr="00A84535" w:rsidRDefault="0083536F" w:rsidP="0083536F">
      <w:pPr>
        <w:widowControl w:val="0"/>
        <w:rPr>
          <w:rFonts w:ascii="Arial" w:hAnsi="Arial" w:cs="Arial"/>
          <w:snapToGrid w:val="0"/>
          <w:sz w:val="22"/>
          <w:szCs w:val="22"/>
          <w:lang w:eastAsia="en-US"/>
        </w:rPr>
      </w:pPr>
    </w:p>
    <w:p w14:paraId="20171666" w14:textId="77777777" w:rsidR="0083536F" w:rsidRPr="00E84FEC" w:rsidRDefault="0083536F" w:rsidP="0083536F">
      <w:pPr>
        <w:widowControl w:val="0"/>
        <w:ind w:left="720"/>
        <w:rPr>
          <w:rFonts w:ascii="Arial" w:hAnsi="Arial" w:cs="Arial"/>
          <w:snapToGrid w:val="0"/>
          <w:lang w:eastAsia="en-US"/>
        </w:rPr>
      </w:pPr>
      <w:r w:rsidRPr="00E84FEC">
        <w:rPr>
          <w:rFonts w:ascii="Arial" w:hAnsi="Arial" w:cs="Arial"/>
          <w:snapToGrid w:val="0"/>
          <w:lang w:eastAsia="en-US"/>
        </w:rPr>
        <w:t>The Treasurer is updated regularly on all changes to acceptable borrowers and may be more restrictive to ensure that security of capital is prioritised.  It has been agreed that investments with any one borrower will be limited to £2.0m, except the UK Government through the Debt Management Office (DMO).  In the current period of uncertainty, and to ensure liquidity, no loans will be made for a period of more than 12 months.</w:t>
      </w:r>
    </w:p>
    <w:p w14:paraId="20171667" w14:textId="77777777" w:rsidR="0083536F" w:rsidRPr="00A84535" w:rsidRDefault="0083536F" w:rsidP="0083536F">
      <w:pPr>
        <w:widowControl w:val="0"/>
        <w:ind w:left="720"/>
        <w:rPr>
          <w:rFonts w:ascii="Arial" w:hAnsi="Arial" w:cs="Arial"/>
          <w:snapToGrid w:val="0"/>
          <w:sz w:val="22"/>
          <w:szCs w:val="22"/>
          <w:lang w:eastAsia="en-US"/>
        </w:rPr>
      </w:pPr>
    </w:p>
    <w:p w14:paraId="20171668" w14:textId="77777777" w:rsidR="0083536F" w:rsidRPr="00E84FEC" w:rsidRDefault="0083536F" w:rsidP="0083536F">
      <w:pPr>
        <w:widowControl w:val="0"/>
        <w:ind w:left="720"/>
        <w:rPr>
          <w:rFonts w:ascii="Arial" w:hAnsi="Arial" w:cs="Arial"/>
          <w:snapToGrid w:val="0"/>
          <w:lang w:eastAsia="en-US"/>
        </w:rPr>
      </w:pPr>
      <w:r w:rsidRPr="00E84FEC">
        <w:rPr>
          <w:rFonts w:ascii="Arial" w:hAnsi="Arial" w:cs="Arial"/>
          <w:snapToGrid w:val="0"/>
          <w:lang w:eastAsia="en-US"/>
        </w:rPr>
        <w:t xml:space="preserve">Investments will be sterling denominated.  Funds available for investment are cash flow derived, but there is a core balance available through the Fire Authority’s reserves.  </w:t>
      </w:r>
    </w:p>
    <w:p w14:paraId="633FBAA2" w14:textId="77777777" w:rsidR="00F53419" w:rsidRDefault="00F53419" w:rsidP="0083536F">
      <w:pPr>
        <w:widowControl w:val="0"/>
        <w:ind w:left="720"/>
        <w:rPr>
          <w:rFonts w:ascii="Arial" w:hAnsi="Arial" w:cs="Arial"/>
          <w:snapToGrid w:val="0"/>
          <w:lang w:eastAsia="en-US"/>
        </w:rPr>
      </w:pPr>
    </w:p>
    <w:p w14:paraId="20171669" w14:textId="77777777" w:rsidR="0083536F" w:rsidRDefault="0083536F" w:rsidP="0083536F">
      <w:pPr>
        <w:widowControl w:val="0"/>
        <w:ind w:left="720"/>
        <w:rPr>
          <w:rFonts w:ascii="Arial" w:hAnsi="Arial" w:cs="Arial"/>
          <w:snapToGrid w:val="0"/>
          <w:lang w:eastAsia="en-US"/>
        </w:rPr>
      </w:pPr>
      <w:r w:rsidRPr="00E84FEC">
        <w:rPr>
          <w:rFonts w:ascii="Arial" w:hAnsi="Arial" w:cs="Arial"/>
          <w:snapToGrid w:val="0"/>
          <w:lang w:eastAsia="en-US"/>
        </w:rPr>
        <w:t>At the end of the financial year, the Fire Authority will report on its investment activity as part of its Annual Treasury Report, and will also provide quarterly updates throughout the year.</w:t>
      </w:r>
    </w:p>
    <w:p w14:paraId="2017166A" w14:textId="77777777" w:rsidR="0083536F" w:rsidRPr="00E84FEC" w:rsidRDefault="0083536F" w:rsidP="0083536F">
      <w:pPr>
        <w:widowControl w:val="0"/>
        <w:ind w:left="720"/>
        <w:rPr>
          <w:rFonts w:ascii="Arial" w:hAnsi="Arial" w:cs="Arial"/>
          <w:snapToGrid w:val="0"/>
          <w:lang w:eastAsia="en-US"/>
        </w:rPr>
      </w:pPr>
    </w:p>
    <w:p w14:paraId="2017166B" w14:textId="77777777" w:rsidR="0083536F" w:rsidRPr="005B42BA" w:rsidRDefault="0083536F" w:rsidP="0083536F">
      <w:pPr>
        <w:widowControl w:val="0"/>
        <w:ind w:left="720"/>
        <w:rPr>
          <w:rFonts w:ascii="Arial" w:hAnsi="Arial" w:cs="Arial"/>
          <w:b/>
          <w:snapToGrid w:val="0"/>
          <w:lang w:eastAsia="en-US"/>
        </w:rPr>
      </w:pPr>
      <w:r w:rsidRPr="005B42BA">
        <w:rPr>
          <w:rFonts w:ascii="Arial" w:hAnsi="Arial" w:cs="Arial"/>
          <w:b/>
          <w:snapToGrid w:val="0"/>
          <w:lang w:eastAsia="en-US"/>
        </w:rPr>
        <w:t>Prudential Indicators for Borrowing and Lending</w:t>
      </w:r>
    </w:p>
    <w:p w14:paraId="2017166C" w14:textId="77777777" w:rsidR="0083536F" w:rsidRDefault="0083536F" w:rsidP="0083536F">
      <w:pPr>
        <w:widowControl w:val="0"/>
        <w:ind w:left="720"/>
        <w:rPr>
          <w:rFonts w:ascii="Arial" w:hAnsi="Arial" w:cs="Arial"/>
          <w:snapToGrid w:val="0"/>
          <w:lang w:eastAsia="en-US"/>
        </w:rPr>
      </w:pPr>
    </w:p>
    <w:p w14:paraId="2017166D" w14:textId="77777777" w:rsidR="0083536F" w:rsidRPr="005B42BA" w:rsidRDefault="0083536F" w:rsidP="0083536F">
      <w:pPr>
        <w:widowControl w:val="0"/>
        <w:ind w:left="720"/>
        <w:rPr>
          <w:rFonts w:ascii="Arial" w:hAnsi="Arial" w:cs="Arial"/>
          <w:snapToGrid w:val="0"/>
          <w:lang w:eastAsia="en-US"/>
        </w:rPr>
      </w:pPr>
      <w:r w:rsidRPr="005B42BA">
        <w:rPr>
          <w:rFonts w:ascii="Arial" w:hAnsi="Arial" w:cs="Arial"/>
          <w:snapToGrid w:val="0"/>
          <w:lang w:eastAsia="en-US"/>
        </w:rPr>
        <w:t>Consistent with Treasury and Investment Strategies, the Fire Authority is recommended to adopt the following Prudential Guidelines</w:t>
      </w:r>
      <w:r>
        <w:rPr>
          <w:rFonts w:ascii="Arial" w:hAnsi="Arial" w:cs="Arial"/>
          <w:snapToGrid w:val="0"/>
          <w:lang w:eastAsia="en-US"/>
        </w:rPr>
        <w:t xml:space="preserve"> for the period to 31 March 201</w:t>
      </w:r>
      <w:r w:rsidR="002D297B">
        <w:rPr>
          <w:rFonts w:ascii="Arial" w:hAnsi="Arial" w:cs="Arial"/>
          <w:snapToGrid w:val="0"/>
          <w:lang w:eastAsia="en-US"/>
        </w:rPr>
        <w:t>8</w:t>
      </w:r>
      <w:r w:rsidRPr="005B42BA">
        <w:rPr>
          <w:rFonts w:ascii="Arial" w:hAnsi="Arial" w:cs="Arial"/>
          <w:snapToGrid w:val="0"/>
          <w:lang w:eastAsia="en-US"/>
        </w:rPr>
        <w:t>:</w:t>
      </w:r>
    </w:p>
    <w:p w14:paraId="2017166E" w14:textId="77777777" w:rsidR="0083536F" w:rsidRPr="005B42BA" w:rsidRDefault="0083536F" w:rsidP="0083536F">
      <w:pPr>
        <w:widowControl w:val="0"/>
        <w:ind w:left="1440"/>
        <w:rPr>
          <w:rFonts w:ascii="Arial" w:hAnsi="Arial" w:cs="Arial"/>
          <w:snapToGrid w:val="0"/>
          <w:lang w:eastAsia="en-US"/>
        </w:rPr>
      </w:pPr>
    </w:p>
    <w:p w14:paraId="2017166F" w14:textId="77777777" w:rsidR="0083536F" w:rsidRPr="001F5EFF" w:rsidRDefault="0083536F" w:rsidP="00DD066F">
      <w:pPr>
        <w:pStyle w:val="ListParagraph"/>
        <w:widowControl w:val="0"/>
        <w:numPr>
          <w:ilvl w:val="1"/>
          <w:numId w:val="28"/>
        </w:numPr>
        <w:tabs>
          <w:tab w:val="clear" w:pos="1210"/>
          <w:tab w:val="num" w:pos="1276"/>
        </w:tabs>
        <w:ind w:left="1276" w:hanging="567"/>
        <w:rPr>
          <w:rFonts w:ascii="Arial" w:hAnsi="Arial" w:cs="Arial"/>
          <w:b/>
          <w:snapToGrid w:val="0"/>
          <w:lang w:eastAsia="en-US"/>
        </w:rPr>
      </w:pPr>
      <w:r w:rsidRPr="001F5EFF">
        <w:rPr>
          <w:rFonts w:ascii="Arial" w:hAnsi="Arial" w:cs="Arial"/>
          <w:b/>
          <w:snapToGrid w:val="0"/>
          <w:lang w:eastAsia="en-US"/>
        </w:rPr>
        <w:t>Borrowing</w:t>
      </w:r>
    </w:p>
    <w:p w14:paraId="20171670" w14:textId="77777777" w:rsidR="0083536F" w:rsidRPr="00B10834" w:rsidRDefault="0083536F" w:rsidP="0083536F">
      <w:pPr>
        <w:widowControl w:val="0"/>
        <w:tabs>
          <w:tab w:val="num" w:pos="1276"/>
        </w:tabs>
        <w:ind w:left="1440" w:hanging="731"/>
        <w:rPr>
          <w:rFonts w:ascii="Arial" w:hAnsi="Arial" w:cs="Arial"/>
          <w:snapToGrid w:val="0"/>
          <w:lang w:eastAsia="en-US"/>
        </w:rPr>
      </w:pPr>
    </w:p>
    <w:p w14:paraId="20171671" w14:textId="77777777" w:rsidR="0083536F" w:rsidRPr="005B42BA" w:rsidRDefault="0083536F" w:rsidP="00DD066F">
      <w:pPr>
        <w:widowControl w:val="0"/>
        <w:numPr>
          <w:ilvl w:val="0"/>
          <w:numId w:val="35"/>
        </w:numPr>
        <w:tabs>
          <w:tab w:val="clear" w:pos="1429"/>
          <w:tab w:val="num" w:pos="1843"/>
        </w:tabs>
        <w:ind w:left="1843" w:hanging="567"/>
        <w:rPr>
          <w:rFonts w:ascii="Arial" w:hAnsi="Arial" w:cs="Arial"/>
          <w:snapToGrid w:val="0"/>
          <w:lang w:eastAsia="en-US"/>
        </w:rPr>
      </w:pPr>
      <w:r w:rsidRPr="005B42BA">
        <w:rPr>
          <w:rFonts w:ascii="Arial" w:hAnsi="Arial" w:cs="Arial"/>
          <w:snapToGrid w:val="0"/>
          <w:lang w:eastAsia="en-US"/>
        </w:rPr>
        <w:t>Upper limit for net principal fixed</w:t>
      </w:r>
      <w:r>
        <w:rPr>
          <w:rFonts w:ascii="Arial" w:hAnsi="Arial" w:cs="Arial"/>
          <w:snapToGrid w:val="0"/>
          <w:lang w:eastAsia="en-US"/>
        </w:rPr>
        <w:t xml:space="preserve"> interest rate exposure - </w:t>
      </w:r>
      <w:r w:rsidRPr="005B42BA">
        <w:rPr>
          <w:rFonts w:ascii="Arial" w:hAnsi="Arial" w:cs="Arial"/>
          <w:snapToGrid w:val="0"/>
          <w:lang w:eastAsia="en-US"/>
        </w:rPr>
        <w:t>100%</w:t>
      </w:r>
    </w:p>
    <w:p w14:paraId="20171672" w14:textId="77777777" w:rsidR="0083536F" w:rsidRPr="005B42BA" w:rsidRDefault="0083536F" w:rsidP="00DD066F">
      <w:pPr>
        <w:widowControl w:val="0"/>
        <w:numPr>
          <w:ilvl w:val="0"/>
          <w:numId w:val="35"/>
        </w:numPr>
        <w:tabs>
          <w:tab w:val="clear" w:pos="1429"/>
          <w:tab w:val="num" w:pos="1843"/>
        </w:tabs>
        <w:ind w:left="1843" w:hanging="567"/>
        <w:rPr>
          <w:rFonts w:ascii="Arial" w:hAnsi="Arial" w:cs="Arial"/>
          <w:snapToGrid w:val="0"/>
          <w:lang w:eastAsia="en-US"/>
        </w:rPr>
      </w:pPr>
      <w:r w:rsidRPr="005B42BA">
        <w:rPr>
          <w:rFonts w:ascii="Arial" w:hAnsi="Arial" w:cs="Arial"/>
          <w:snapToGrid w:val="0"/>
          <w:lang w:eastAsia="en-US"/>
        </w:rPr>
        <w:t xml:space="preserve">Upper limit for net principal </w:t>
      </w:r>
      <w:r>
        <w:rPr>
          <w:rFonts w:ascii="Arial" w:hAnsi="Arial" w:cs="Arial"/>
          <w:snapToGrid w:val="0"/>
          <w:lang w:eastAsia="en-US"/>
        </w:rPr>
        <w:t xml:space="preserve">variable interest rate exposure - </w:t>
      </w:r>
      <w:r w:rsidRPr="005B42BA">
        <w:rPr>
          <w:rFonts w:ascii="Arial" w:hAnsi="Arial" w:cs="Arial"/>
          <w:snapToGrid w:val="0"/>
          <w:lang w:eastAsia="en-US"/>
        </w:rPr>
        <w:t>20%</w:t>
      </w:r>
    </w:p>
    <w:p w14:paraId="20171673" w14:textId="77777777" w:rsidR="0083536F" w:rsidRPr="005B42BA" w:rsidRDefault="0083536F" w:rsidP="0083536F">
      <w:pPr>
        <w:widowControl w:val="0"/>
        <w:ind w:left="1080"/>
        <w:rPr>
          <w:rFonts w:ascii="Arial" w:hAnsi="Arial" w:cs="Arial"/>
          <w:snapToGrid w:val="0"/>
          <w:lang w:eastAsia="en-US"/>
        </w:rPr>
      </w:pPr>
    </w:p>
    <w:p w14:paraId="20171674" w14:textId="77777777" w:rsidR="0083536F" w:rsidRPr="00DD066F" w:rsidRDefault="0083536F" w:rsidP="00DD066F">
      <w:pPr>
        <w:pStyle w:val="ListParagraph"/>
        <w:widowControl w:val="0"/>
        <w:numPr>
          <w:ilvl w:val="0"/>
          <w:numId w:val="34"/>
        </w:numPr>
        <w:rPr>
          <w:rFonts w:ascii="Arial" w:hAnsi="Arial" w:cs="Arial"/>
          <w:b/>
          <w:snapToGrid w:val="0"/>
          <w:lang w:eastAsia="en-US"/>
        </w:rPr>
      </w:pPr>
      <w:r w:rsidRPr="00DD066F">
        <w:rPr>
          <w:rFonts w:ascii="Arial" w:hAnsi="Arial" w:cs="Arial"/>
          <w:b/>
          <w:snapToGrid w:val="0"/>
          <w:lang w:eastAsia="en-US"/>
        </w:rPr>
        <w:t>Investment</w:t>
      </w:r>
    </w:p>
    <w:p w14:paraId="20171675" w14:textId="77777777" w:rsidR="0083536F" w:rsidRPr="00B10834" w:rsidRDefault="0083536F" w:rsidP="0083536F">
      <w:pPr>
        <w:widowControl w:val="0"/>
        <w:rPr>
          <w:rFonts w:ascii="Arial" w:hAnsi="Arial" w:cs="Arial"/>
          <w:snapToGrid w:val="0"/>
          <w:lang w:eastAsia="en-US"/>
        </w:rPr>
      </w:pPr>
    </w:p>
    <w:p w14:paraId="20171676" w14:textId="77777777" w:rsidR="0083536F" w:rsidRPr="005B42BA" w:rsidRDefault="0083536F" w:rsidP="0083536F">
      <w:pPr>
        <w:widowControl w:val="0"/>
        <w:numPr>
          <w:ilvl w:val="0"/>
          <w:numId w:val="27"/>
        </w:numPr>
        <w:tabs>
          <w:tab w:val="clear" w:pos="720"/>
          <w:tab w:val="num" w:pos="1843"/>
        </w:tabs>
        <w:ind w:left="1843" w:hanging="567"/>
        <w:rPr>
          <w:rFonts w:ascii="Arial" w:hAnsi="Arial" w:cs="Arial"/>
          <w:snapToGrid w:val="0"/>
          <w:lang w:eastAsia="en-US"/>
        </w:rPr>
      </w:pPr>
      <w:r w:rsidRPr="005B42BA">
        <w:rPr>
          <w:rFonts w:ascii="Arial" w:hAnsi="Arial" w:cs="Arial"/>
          <w:snapToGrid w:val="0"/>
          <w:lang w:eastAsia="en-US"/>
        </w:rPr>
        <w:t>Upper limit for net principal fi</w:t>
      </w:r>
      <w:r>
        <w:rPr>
          <w:rFonts w:ascii="Arial" w:hAnsi="Arial" w:cs="Arial"/>
          <w:snapToGrid w:val="0"/>
          <w:lang w:eastAsia="en-US"/>
        </w:rPr>
        <w:t>xed interest rate exposure -100%</w:t>
      </w:r>
    </w:p>
    <w:p w14:paraId="20171677" w14:textId="77777777" w:rsidR="0083536F" w:rsidRDefault="0083536F" w:rsidP="0083536F">
      <w:pPr>
        <w:widowControl w:val="0"/>
        <w:numPr>
          <w:ilvl w:val="0"/>
          <w:numId w:val="27"/>
        </w:numPr>
        <w:tabs>
          <w:tab w:val="clear" w:pos="720"/>
          <w:tab w:val="left" w:pos="1843"/>
          <w:tab w:val="num" w:pos="2160"/>
        </w:tabs>
        <w:ind w:left="1276" w:right="-1051" w:firstLine="0"/>
        <w:rPr>
          <w:rFonts w:ascii="Arial" w:hAnsi="Arial" w:cs="Arial"/>
          <w:snapToGrid w:val="0"/>
          <w:lang w:eastAsia="en-US"/>
        </w:rPr>
      </w:pPr>
      <w:r w:rsidRPr="005B42BA">
        <w:rPr>
          <w:rFonts w:ascii="Arial" w:hAnsi="Arial" w:cs="Arial"/>
          <w:snapToGrid w:val="0"/>
          <w:lang w:eastAsia="en-US"/>
        </w:rPr>
        <w:t xml:space="preserve">Upper limit for net principal </w:t>
      </w:r>
      <w:r>
        <w:rPr>
          <w:rFonts w:ascii="Arial" w:hAnsi="Arial" w:cs="Arial"/>
          <w:snapToGrid w:val="0"/>
          <w:lang w:eastAsia="en-US"/>
        </w:rPr>
        <w:t>variable interest rate exposure - 10</w:t>
      </w:r>
      <w:r w:rsidRPr="005B42BA">
        <w:rPr>
          <w:rFonts w:ascii="Arial" w:hAnsi="Arial" w:cs="Arial"/>
          <w:snapToGrid w:val="0"/>
          <w:lang w:eastAsia="en-US"/>
        </w:rPr>
        <w:t>0%</w:t>
      </w:r>
    </w:p>
    <w:p w14:paraId="6805F464" w14:textId="03B68857" w:rsidR="005523B2" w:rsidRDefault="005523B2" w:rsidP="0083536F">
      <w:pPr>
        <w:widowControl w:val="0"/>
        <w:tabs>
          <w:tab w:val="left" w:pos="1843"/>
        </w:tabs>
        <w:ind w:left="1276" w:right="-1051"/>
        <w:rPr>
          <w:rFonts w:ascii="Arial" w:hAnsi="Arial" w:cs="Arial"/>
          <w:snapToGrid w:val="0"/>
          <w:lang w:eastAsia="en-US"/>
        </w:rPr>
      </w:pPr>
    </w:p>
    <w:p w14:paraId="53E7EE87" w14:textId="77777777" w:rsidR="005523B2" w:rsidRDefault="005523B2" w:rsidP="0083536F">
      <w:pPr>
        <w:widowControl w:val="0"/>
        <w:tabs>
          <w:tab w:val="left" w:pos="1843"/>
        </w:tabs>
        <w:ind w:left="1276" w:right="-1051"/>
        <w:rPr>
          <w:rFonts w:ascii="Arial" w:hAnsi="Arial" w:cs="Arial"/>
          <w:snapToGrid w:val="0"/>
          <w:lang w:eastAsia="en-US"/>
        </w:rPr>
      </w:pPr>
    </w:p>
    <w:p w14:paraId="362004A9" w14:textId="77777777" w:rsidR="005523B2" w:rsidRDefault="005523B2" w:rsidP="0083536F">
      <w:pPr>
        <w:widowControl w:val="0"/>
        <w:tabs>
          <w:tab w:val="left" w:pos="1843"/>
        </w:tabs>
        <w:ind w:left="1276" w:right="-1051"/>
        <w:rPr>
          <w:rFonts w:ascii="Arial" w:hAnsi="Arial" w:cs="Arial"/>
          <w:snapToGrid w:val="0"/>
          <w:lang w:eastAsia="en-US"/>
        </w:rPr>
      </w:pPr>
    </w:p>
    <w:p w14:paraId="10BB2CDE" w14:textId="77777777" w:rsidR="005523B2" w:rsidRPr="005B42BA" w:rsidRDefault="005523B2" w:rsidP="0083536F">
      <w:pPr>
        <w:widowControl w:val="0"/>
        <w:tabs>
          <w:tab w:val="left" w:pos="1843"/>
        </w:tabs>
        <w:ind w:left="1276" w:right="-1051"/>
        <w:rPr>
          <w:rFonts w:ascii="Arial" w:hAnsi="Arial" w:cs="Arial"/>
          <w:snapToGrid w:val="0"/>
          <w:lang w:eastAsia="en-US"/>
        </w:rPr>
      </w:pPr>
    </w:p>
    <w:p w14:paraId="20171679" w14:textId="77777777" w:rsidR="0083536F" w:rsidRPr="008D14F6" w:rsidRDefault="0083536F" w:rsidP="0083536F">
      <w:pPr>
        <w:widowControl w:val="0"/>
        <w:ind w:left="1260" w:hanging="540"/>
        <w:rPr>
          <w:rFonts w:ascii="Arial" w:hAnsi="Arial" w:cs="Arial"/>
          <w:b/>
          <w:snapToGrid w:val="0"/>
          <w:lang w:eastAsia="en-US"/>
        </w:rPr>
      </w:pPr>
      <w:r>
        <w:rPr>
          <w:rFonts w:ascii="Arial" w:hAnsi="Arial" w:cs="Arial"/>
          <w:b/>
          <w:snapToGrid w:val="0"/>
          <w:lang w:eastAsia="en-US"/>
        </w:rPr>
        <w:lastRenderedPageBreak/>
        <w:t>3.</w:t>
      </w:r>
      <w:r>
        <w:rPr>
          <w:rFonts w:ascii="Arial" w:hAnsi="Arial" w:cs="Arial"/>
          <w:b/>
          <w:snapToGrid w:val="0"/>
          <w:lang w:eastAsia="en-US"/>
        </w:rPr>
        <w:tab/>
      </w:r>
      <w:r w:rsidRPr="008D14F6">
        <w:rPr>
          <w:rFonts w:ascii="Arial" w:hAnsi="Arial" w:cs="Arial"/>
          <w:b/>
          <w:snapToGrid w:val="0"/>
          <w:lang w:eastAsia="en-US"/>
        </w:rPr>
        <w:t>Maturing Structure of Fixed Rate Borrowing</w:t>
      </w:r>
    </w:p>
    <w:p w14:paraId="2017167A" w14:textId="77777777" w:rsidR="0083536F" w:rsidRPr="008D14F6" w:rsidRDefault="0083536F" w:rsidP="0083536F">
      <w:pPr>
        <w:widowControl w:val="0"/>
        <w:ind w:left="1440"/>
        <w:rPr>
          <w:rFonts w:ascii="Arial" w:hAnsi="Arial" w:cs="Arial"/>
          <w:snapToGrid w:val="0"/>
          <w:lang w:eastAsia="en-US"/>
        </w:rPr>
      </w:pP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1"/>
        <w:gridCol w:w="1719"/>
      </w:tblGrid>
      <w:tr w:rsidR="008D14F6" w:rsidRPr="008D14F6" w14:paraId="2017167E" w14:textId="77777777" w:rsidTr="005523B2">
        <w:trPr>
          <w:trHeight w:val="284"/>
        </w:trPr>
        <w:tc>
          <w:tcPr>
            <w:tcW w:w="4096" w:type="dxa"/>
            <w:tcBorders>
              <w:top w:val="nil"/>
              <w:left w:val="nil"/>
            </w:tcBorders>
          </w:tcPr>
          <w:p w14:paraId="2017167B" w14:textId="77777777" w:rsidR="0083536F" w:rsidRPr="008D14F6" w:rsidRDefault="0083536F" w:rsidP="00047B1F">
            <w:pPr>
              <w:widowControl w:val="0"/>
              <w:rPr>
                <w:rFonts w:ascii="Arial" w:hAnsi="Arial" w:cs="Arial"/>
                <w:snapToGrid w:val="0"/>
                <w:lang w:eastAsia="en-US"/>
              </w:rPr>
            </w:pPr>
          </w:p>
        </w:tc>
        <w:tc>
          <w:tcPr>
            <w:tcW w:w="1931" w:type="dxa"/>
          </w:tcPr>
          <w:p w14:paraId="2017167C" w14:textId="77777777" w:rsidR="0083536F" w:rsidRPr="008D14F6" w:rsidRDefault="0083536F" w:rsidP="00047B1F">
            <w:pPr>
              <w:widowControl w:val="0"/>
              <w:rPr>
                <w:rFonts w:ascii="Arial" w:hAnsi="Arial" w:cs="Arial"/>
                <w:b/>
                <w:snapToGrid w:val="0"/>
                <w:lang w:eastAsia="en-US"/>
              </w:rPr>
            </w:pPr>
            <w:r w:rsidRPr="008D14F6">
              <w:rPr>
                <w:rFonts w:ascii="Arial" w:hAnsi="Arial" w:cs="Arial"/>
                <w:b/>
                <w:snapToGrid w:val="0"/>
                <w:lang w:eastAsia="en-US"/>
              </w:rPr>
              <w:t>Upper Limit (%)</w:t>
            </w:r>
          </w:p>
        </w:tc>
        <w:tc>
          <w:tcPr>
            <w:tcW w:w="1719" w:type="dxa"/>
          </w:tcPr>
          <w:p w14:paraId="2017167D" w14:textId="77777777" w:rsidR="0083536F" w:rsidRPr="008D14F6" w:rsidRDefault="0083536F" w:rsidP="00047B1F">
            <w:pPr>
              <w:widowControl w:val="0"/>
              <w:rPr>
                <w:rFonts w:ascii="Arial" w:hAnsi="Arial" w:cs="Arial"/>
                <w:b/>
                <w:snapToGrid w:val="0"/>
                <w:lang w:eastAsia="en-US"/>
              </w:rPr>
            </w:pPr>
            <w:r w:rsidRPr="008D14F6">
              <w:rPr>
                <w:rFonts w:ascii="Arial" w:hAnsi="Arial" w:cs="Arial"/>
                <w:b/>
                <w:snapToGrid w:val="0"/>
                <w:lang w:eastAsia="en-US"/>
              </w:rPr>
              <w:t>Lower Limit (%)</w:t>
            </w:r>
          </w:p>
        </w:tc>
      </w:tr>
      <w:tr w:rsidR="008D14F6" w:rsidRPr="008D14F6" w14:paraId="20171682" w14:textId="77777777" w:rsidTr="005523B2">
        <w:trPr>
          <w:trHeight w:val="284"/>
        </w:trPr>
        <w:tc>
          <w:tcPr>
            <w:tcW w:w="4096" w:type="dxa"/>
          </w:tcPr>
          <w:p w14:paraId="2017167F" w14:textId="77777777" w:rsidR="0083536F" w:rsidRPr="008D14F6" w:rsidRDefault="0083536F" w:rsidP="00047B1F">
            <w:pPr>
              <w:widowControl w:val="0"/>
              <w:rPr>
                <w:rFonts w:ascii="Arial" w:hAnsi="Arial" w:cs="Arial"/>
                <w:snapToGrid w:val="0"/>
                <w:lang w:eastAsia="en-US"/>
              </w:rPr>
            </w:pPr>
            <w:r w:rsidRPr="008D14F6">
              <w:rPr>
                <w:rFonts w:ascii="Arial" w:hAnsi="Arial" w:cs="Arial"/>
                <w:snapToGrid w:val="0"/>
                <w:lang w:eastAsia="en-US"/>
              </w:rPr>
              <w:t>Under 12 months</w:t>
            </w:r>
          </w:p>
        </w:tc>
        <w:tc>
          <w:tcPr>
            <w:tcW w:w="1931" w:type="dxa"/>
          </w:tcPr>
          <w:p w14:paraId="20171680" w14:textId="77777777" w:rsidR="0083536F" w:rsidRPr="008D14F6" w:rsidRDefault="0083536F" w:rsidP="00047B1F">
            <w:pPr>
              <w:widowControl w:val="0"/>
              <w:tabs>
                <w:tab w:val="decimal" w:pos="612"/>
              </w:tabs>
              <w:rPr>
                <w:rFonts w:ascii="Arial" w:hAnsi="Arial" w:cs="Arial"/>
                <w:snapToGrid w:val="0"/>
                <w:lang w:eastAsia="en-US"/>
              </w:rPr>
            </w:pPr>
            <w:r w:rsidRPr="008D14F6">
              <w:rPr>
                <w:rFonts w:ascii="Arial" w:hAnsi="Arial" w:cs="Arial"/>
                <w:snapToGrid w:val="0"/>
                <w:lang w:eastAsia="en-US"/>
              </w:rPr>
              <w:t>30</w:t>
            </w:r>
          </w:p>
        </w:tc>
        <w:tc>
          <w:tcPr>
            <w:tcW w:w="1719" w:type="dxa"/>
          </w:tcPr>
          <w:p w14:paraId="20171681" w14:textId="77777777" w:rsidR="0083536F" w:rsidRPr="008D14F6" w:rsidRDefault="0083536F" w:rsidP="00047B1F">
            <w:pPr>
              <w:widowControl w:val="0"/>
              <w:tabs>
                <w:tab w:val="decimal" w:pos="432"/>
              </w:tabs>
              <w:rPr>
                <w:rFonts w:ascii="Arial" w:hAnsi="Arial" w:cs="Arial"/>
                <w:snapToGrid w:val="0"/>
                <w:lang w:eastAsia="en-US"/>
              </w:rPr>
            </w:pPr>
            <w:r w:rsidRPr="008D14F6">
              <w:rPr>
                <w:rFonts w:ascii="Arial" w:hAnsi="Arial" w:cs="Arial"/>
                <w:snapToGrid w:val="0"/>
                <w:lang w:eastAsia="en-US"/>
              </w:rPr>
              <w:t>0</w:t>
            </w:r>
          </w:p>
        </w:tc>
      </w:tr>
      <w:tr w:rsidR="008D14F6" w:rsidRPr="008D14F6" w14:paraId="20171686" w14:textId="77777777" w:rsidTr="005523B2">
        <w:trPr>
          <w:trHeight w:val="284"/>
        </w:trPr>
        <w:tc>
          <w:tcPr>
            <w:tcW w:w="4096" w:type="dxa"/>
          </w:tcPr>
          <w:p w14:paraId="20171683" w14:textId="77777777" w:rsidR="0083536F" w:rsidRPr="008D14F6" w:rsidRDefault="0083536F" w:rsidP="00047B1F">
            <w:pPr>
              <w:widowControl w:val="0"/>
              <w:rPr>
                <w:rFonts w:ascii="Arial" w:hAnsi="Arial" w:cs="Arial"/>
                <w:snapToGrid w:val="0"/>
                <w:lang w:eastAsia="en-US"/>
              </w:rPr>
            </w:pPr>
            <w:r w:rsidRPr="008D14F6">
              <w:rPr>
                <w:rFonts w:ascii="Arial" w:hAnsi="Arial" w:cs="Arial"/>
                <w:snapToGrid w:val="0"/>
                <w:lang w:eastAsia="en-US"/>
              </w:rPr>
              <w:t>12 months to 24 months</w:t>
            </w:r>
          </w:p>
        </w:tc>
        <w:tc>
          <w:tcPr>
            <w:tcW w:w="1931" w:type="dxa"/>
          </w:tcPr>
          <w:p w14:paraId="20171684" w14:textId="77777777" w:rsidR="0083536F" w:rsidRPr="008D14F6" w:rsidRDefault="0083536F" w:rsidP="00047B1F">
            <w:pPr>
              <w:widowControl w:val="0"/>
              <w:tabs>
                <w:tab w:val="decimal" w:pos="612"/>
              </w:tabs>
              <w:rPr>
                <w:rFonts w:ascii="Arial" w:hAnsi="Arial" w:cs="Arial"/>
                <w:snapToGrid w:val="0"/>
                <w:lang w:eastAsia="en-US"/>
              </w:rPr>
            </w:pPr>
            <w:r w:rsidRPr="008D14F6">
              <w:rPr>
                <w:rFonts w:ascii="Arial" w:hAnsi="Arial" w:cs="Arial"/>
                <w:snapToGrid w:val="0"/>
                <w:lang w:eastAsia="en-US"/>
              </w:rPr>
              <w:t>30</w:t>
            </w:r>
          </w:p>
        </w:tc>
        <w:tc>
          <w:tcPr>
            <w:tcW w:w="1719" w:type="dxa"/>
          </w:tcPr>
          <w:p w14:paraId="20171685" w14:textId="77777777" w:rsidR="0083536F" w:rsidRPr="008D14F6" w:rsidRDefault="0083536F" w:rsidP="00047B1F">
            <w:pPr>
              <w:widowControl w:val="0"/>
              <w:tabs>
                <w:tab w:val="decimal" w:pos="432"/>
              </w:tabs>
              <w:rPr>
                <w:rFonts w:ascii="Arial" w:hAnsi="Arial" w:cs="Arial"/>
                <w:snapToGrid w:val="0"/>
                <w:lang w:eastAsia="en-US"/>
              </w:rPr>
            </w:pPr>
            <w:r w:rsidRPr="008D14F6">
              <w:rPr>
                <w:rFonts w:ascii="Arial" w:hAnsi="Arial" w:cs="Arial"/>
                <w:snapToGrid w:val="0"/>
                <w:lang w:eastAsia="en-US"/>
              </w:rPr>
              <w:t>0</w:t>
            </w:r>
          </w:p>
        </w:tc>
      </w:tr>
      <w:tr w:rsidR="008D14F6" w:rsidRPr="008D14F6" w14:paraId="2017168A" w14:textId="77777777" w:rsidTr="005523B2">
        <w:trPr>
          <w:trHeight w:val="284"/>
        </w:trPr>
        <w:tc>
          <w:tcPr>
            <w:tcW w:w="4096" w:type="dxa"/>
          </w:tcPr>
          <w:p w14:paraId="20171687" w14:textId="77777777" w:rsidR="0083536F" w:rsidRPr="008D14F6" w:rsidRDefault="0083536F" w:rsidP="00047B1F">
            <w:pPr>
              <w:widowControl w:val="0"/>
              <w:rPr>
                <w:rFonts w:ascii="Arial" w:hAnsi="Arial" w:cs="Arial"/>
                <w:snapToGrid w:val="0"/>
                <w:lang w:eastAsia="en-US"/>
              </w:rPr>
            </w:pPr>
            <w:r w:rsidRPr="008D14F6">
              <w:rPr>
                <w:rFonts w:ascii="Arial" w:hAnsi="Arial" w:cs="Arial"/>
                <w:snapToGrid w:val="0"/>
                <w:lang w:eastAsia="en-US"/>
              </w:rPr>
              <w:t>24 months and within 5 years</w:t>
            </w:r>
          </w:p>
        </w:tc>
        <w:tc>
          <w:tcPr>
            <w:tcW w:w="1931" w:type="dxa"/>
          </w:tcPr>
          <w:p w14:paraId="20171688" w14:textId="77777777" w:rsidR="0083536F" w:rsidRPr="008D14F6" w:rsidRDefault="0083536F" w:rsidP="00047B1F">
            <w:pPr>
              <w:widowControl w:val="0"/>
              <w:tabs>
                <w:tab w:val="decimal" w:pos="612"/>
              </w:tabs>
              <w:rPr>
                <w:rFonts w:ascii="Arial" w:hAnsi="Arial" w:cs="Arial"/>
                <w:snapToGrid w:val="0"/>
                <w:lang w:eastAsia="en-US"/>
              </w:rPr>
            </w:pPr>
            <w:r w:rsidRPr="008D14F6">
              <w:rPr>
                <w:rFonts w:ascii="Arial" w:hAnsi="Arial" w:cs="Arial"/>
                <w:snapToGrid w:val="0"/>
                <w:lang w:eastAsia="en-US"/>
              </w:rPr>
              <w:t>30</w:t>
            </w:r>
          </w:p>
        </w:tc>
        <w:tc>
          <w:tcPr>
            <w:tcW w:w="1719" w:type="dxa"/>
          </w:tcPr>
          <w:p w14:paraId="20171689" w14:textId="77777777" w:rsidR="0083536F" w:rsidRPr="008D14F6" w:rsidRDefault="0083536F" w:rsidP="00047B1F">
            <w:pPr>
              <w:widowControl w:val="0"/>
              <w:tabs>
                <w:tab w:val="decimal" w:pos="432"/>
              </w:tabs>
              <w:rPr>
                <w:rFonts w:ascii="Arial" w:hAnsi="Arial" w:cs="Arial"/>
                <w:snapToGrid w:val="0"/>
                <w:lang w:eastAsia="en-US"/>
              </w:rPr>
            </w:pPr>
            <w:r w:rsidRPr="008D14F6">
              <w:rPr>
                <w:rFonts w:ascii="Arial" w:hAnsi="Arial" w:cs="Arial"/>
                <w:snapToGrid w:val="0"/>
                <w:lang w:eastAsia="en-US"/>
              </w:rPr>
              <w:t>0</w:t>
            </w:r>
          </w:p>
        </w:tc>
      </w:tr>
      <w:tr w:rsidR="008D14F6" w:rsidRPr="008D14F6" w14:paraId="2017168E" w14:textId="77777777" w:rsidTr="005523B2">
        <w:trPr>
          <w:trHeight w:val="284"/>
        </w:trPr>
        <w:tc>
          <w:tcPr>
            <w:tcW w:w="4096" w:type="dxa"/>
          </w:tcPr>
          <w:p w14:paraId="2017168B" w14:textId="77777777" w:rsidR="0083536F" w:rsidRPr="008D14F6" w:rsidRDefault="0083536F" w:rsidP="00047B1F">
            <w:pPr>
              <w:widowControl w:val="0"/>
              <w:rPr>
                <w:rFonts w:ascii="Arial" w:hAnsi="Arial" w:cs="Arial"/>
                <w:snapToGrid w:val="0"/>
                <w:lang w:eastAsia="en-US"/>
              </w:rPr>
            </w:pPr>
            <w:r w:rsidRPr="008D14F6">
              <w:rPr>
                <w:rFonts w:ascii="Arial" w:hAnsi="Arial" w:cs="Arial"/>
                <w:snapToGrid w:val="0"/>
                <w:lang w:eastAsia="en-US"/>
              </w:rPr>
              <w:t>5 years and within 10 years</w:t>
            </w:r>
          </w:p>
        </w:tc>
        <w:tc>
          <w:tcPr>
            <w:tcW w:w="1931" w:type="dxa"/>
          </w:tcPr>
          <w:p w14:paraId="2017168C" w14:textId="77777777" w:rsidR="0083536F" w:rsidRPr="008D14F6" w:rsidRDefault="0083536F" w:rsidP="00047B1F">
            <w:pPr>
              <w:widowControl w:val="0"/>
              <w:tabs>
                <w:tab w:val="decimal" w:pos="612"/>
              </w:tabs>
              <w:rPr>
                <w:rFonts w:ascii="Arial" w:hAnsi="Arial" w:cs="Arial"/>
                <w:snapToGrid w:val="0"/>
                <w:lang w:eastAsia="en-US"/>
              </w:rPr>
            </w:pPr>
            <w:r w:rsidRPr="008D14F6">
              <w:rPr>
                <w:rFonts w:ascii="Arial" w:hAnsi="Arial" w:cs="Arial"/>
                <w:snapToGrid w:val="0"/>
                <w:lang w:eastAsia="en-US"/>
              </w:rPr>
              <w:t>30</w:t>
            </w:r>
          </w:p>
        </w:tc>
        <w:tc>
          <w:tcPr>
            <w:tcW w:w="1719" w:type="dxa"/>
          </w:tcPr>
          <w:p w14:paraId="2017168D" w14:textId="77777777" w:rsidR="0083536F" w:rsidRPr="008D14F6" w:rsidRDefault="0083536F" w:rsidP="00047B1F">
            <w:pPr>
              <w:widowControl w:val="0"/>
              <w:tabs>
                <w:tab w:val="decimal" w:pos="432"/>
              </w:tabs>
              <w:rPr>
                <w:rFonts w:ascii="Arial" w:hAnsi="Arial" w:cs="Arial"/>
                <w:snapToGrid w:val="0"/>
                <w:lang w:eastAsia="en-US"/>
              </w:rPr>
            </w:pPr>
            <w:r w:rsidRPr="008D14F6">
              <w:rPr>
                <w:rFonts w:ascii="Arial" w:hAnsi="Arial" w:cs="Arial"/>
                <w:snapToGrid w:val="0"/>
                <w:lang w:eastAsia="en-US"/>
              </w:rPr>
              <w:t>0</w:t>
            </w:r>
          </w:p>
        </w:tc>
      </w:tr>
      <w:tr w:rsidR="008D14F6" w:rsidRPr="008D14F6" w14:paraId="20171692" w14:textId="77777777" w:rsidTr="005523B2">
        <w:trPr>
          <w:trHeight w:val="284"/>
        </w:trPr>
        <w:tc>
          <w:tcPr>
            <w:tcW w:w="4096" w:type="dxa"/>
          </w:tcPr>
          <w:p w14:paraId="2017168F" w14:textId="77777777" w:rsidR="0083536F" w:rsidRPr="008D14F6" w:rsidRDefault="0083536F" w:rsidP="00047B1F">
            <w:pPr>
              <w:widowControl w:val="0"/>
              <w:rPr>
                <w:rFonts w:ascii="Arial" w:hAnsi="Arial" w:cs="Arial"/>
                <w:snapToGrid w:val="0"/>
                <w:lang w:eastAsia="en-US"/>
              </w:rPr>
            </w:pPr>
            <w:r w:rsidRPr="008D14F6">
              <w:rPr>
                <w:rFonts w:ascii="Arial" w:hAnsi="Arial" w:cs="Arial"/>
                <w:snapToGrid w:val="0"/>
                <w:lang w:eastAsia="en-US"/>
              </w:rPr>
              <w:t>10 years and above</w:t>
            </w:r>
          </w:p>
        </w:tc>
        <w:tc>
          <w:tcPr>
            <w:tcW w:w="1931" w:type="dxa"/>
          </w:tcPr>
          <w:p w14:paraId="20171690" w14:textId="77777777" w:rsidR="0083536F" w:rsidRPr="008D14F6" w:rsidRDefault="0083536F" w:rsidP="00047B1F">
            <w:pPr>
              <w:widowControl w:val="0"/>
              <w:tabs>
                <w:tab w:val="decimal" w:pos="612"/>
              </w:tabs>
              <w:rPr>
                <w:rFonts w:ascii="Arial" w:hAnsi="Arial" w:cs="Arial"/>
                <w:snapToGrid w:val="0"/>
                <w:lang w:eastAsia="en-US"/>
              </w:rPr>
            </w:pPr>
            <w:r w:rsidRPr="008D14F6">
              <w:rPr>
                <w:rFonts w:ascii="Arial" w:hAnsi="Arial" w:cs="Arial"/>
                <w:snapToGrid w:val="0"/>
                <w:lang w:eastAsia="en-US"/>
              </w:rPr>
              <w:t>100</w:t>
            </w:r>
          </w:p>
        </w:tc>
        <w:tc>
          <w:tcPr>
            <w:tcW w:w="1719" w:type="dxa"/>
          </w:tcPr>
          <w:p w14:paraId="20171691" w14:textId="77777777" w:rsidR="0083536F" w:rsidRPr="008D14F6" w:rsidRDefault="0083536F" w:rsidP="00047B1F">
            <w:pPr>
              <w:widowControl w:val="0"/>
              <w:tabs>
                <w:tab w:val="decimal" w:pos="432"/>
              </w:tabs>
              <w:rPr>
                <w:rFonts w:ascii="Arial" w:hAnsi="Arial" w:cs="Arial"/>
                <w:snapToGrid w:val="0"/>
                <w:lang w:eastAsia="en-US"/>
              </w:rPr>
            </w:pPr>
            <w:r w:rsidRPr="008D14F6">
              <w:rPr>
                <w:rFonts w:ascii="Arial" w:hAnsi="Arial" w:cs="Arial"/>
                <w:snapToGrid w:val="0"/>
                <w:lang w:eastAsia="en-US"/>
              </w:rPr>
              <w:t>70</w:t>
            </w:r>
          </w:p>
        </w:tc>
      </w:tr>
    </w:tbl>
    <w:p w14:paraId="20171693" w14:textId="77777777" w:rsidR="0083536F" w:rsidRDefault="0083536F" w:rsidP="0083536F">
      <w:pPr>
        <w:widowControl w:val="0"/>
        <w:rPr>
          <w:rFonts w:ascii="Arial" w:hAnsi="Arial" w:cs="Arial"/>
          <w:snapToGrid w:val="0"/>
          <w:lang w:eastAsia="en-US"/>
        </w:rPr>
      </w:pPr>
    </w:p>
    <w:p w14:paraId="03E5A662" w14:textId="77777777" w:rsidR="005523B2" w:rsidRDefault="005523B2" w:rsidP="0083536F">
      <w:pPr>
        <w:widowControl w:val="0"/>
        <w:rPr>
          <w:rFonts w:ascii="Arial" w:hAnsi="Arial" w:cs="Arial"/>
          <w:snapToGrid w:val="0"/>
          <w:lang w:eastAsia="en-US"/>
        </w:rPr>
      </w:pPr>
    </w:p>
    <w:p w14:paraId="20171694" w14:textId="77777777" w:rsidR="0083536F" w:rsidRDefault="0083536F" w:rsidP="0083536F">
      <w:pPr>
        <w:widowControl w:val="0"/>
        <w:ind w:left="1276" w:hanging="556"/>
        <w:rPr>
          <w:rFonts w:ascii="Arial" w:hAnsi="Arial" w:cs="Arial"/>
          <w:snapToGrid w:val="0"/>
          <w:lang w:eastAsia="en-US"/>
        </w:rPr>
      </w:pPr>
      <w:r>
        <w:rPr>
          <w:rFonts w:ascii="Arial" w:hAnsi="Arial" w:cs="Arial"/>
          <w:b/>
          <w:snapToGrid w:val="0"/>
          <w:lang w:eastAsia="en-US"/>
        </w:rPr>
        <w:t>4.</w:t>
      </w:r>
      <w:r>
        <w:rPr>
          <w:rFonts w:ascii="Arial" w:hAnsi="Arial" w:cs="Arial"/>
          <w:b/>
          <w:snapToGrid w:val="0"/>
          <w:lang w:eastAsia="en-US"/>
        </w:rPr>
        <w:tab/>
      </w:r>
      <w:r w:rsidRPr="005B42BA">
        <w:rPr>
          <w:rFonts w:ascii="Arial" w:hAnsi="Arial" w:cs="Arial"/>
          <w:b/>
          <w:snapToGrid w:val="0"/>
          <w:lang w:eastAsia="en-US"/>
        </w:rPr>
        <w:t>Investments for more than 364 days</w:t>
      </w:r>
      <w:r>
        <w:rPr>
          <w:rFonts w:ascii="Arial" w:hAnsi="Arial" w:cs="Arial"/>
          <w:snapToGrid w:val="0"/>
          <w:lang w:eastAsia="en-US"/>
        </w:rPr>
        <w:t xml:space="preserve"> – nil</w:t>
      </w:r>
    </w:p>
    <w:p w14:paraId="2B797428" w14:textId="77777777" w:rsidR="00D44BFE" w:rsidRPr="005B42BA" w:rsidRDefault="00D44BFE" w:rsidP="0083536F">
      <w:pPr>
        <w:widowControl w:val="0"/>
        <w:ind w:left="1276" w:hanging="556"/>
        <w:rPr>
          <w:rFonts w:ascii="Arial" w:hAnsi="Arial" w:cs="Arial"/>
          <w:snapToGrid w:val="0"/>
          <w:lang w:eastAsia="en-US"/>
        </w:rPr>
      </w:pPr>
    </w:p>
    <w:p w14:paraId="20171696" w14:textId="77777777" w:rsidR="00D75390" w:rsidRDefault="00D75390" w:rsidP="00F53419">
      <w:pPr>
        <w:pStyle w:val="sssubhead1"/>
      </w:pPr>
      <w:r>
        <w:t>Minimum Revenue Provision 201</w:t>
      </w:r>
      <w:r w:rsidR="002D297B">
        <w:t>5</w:t>
      </w:r>
      <w:r>
        <w:t>/1</w:t>
      </w:r>
      <w:r w:rsidR="002D297B">
        <w:t>6</w:t>
      </w:r>
    </w:p>
    <w:p w14:paraId="20171697" w14:textId="77777777" w:rsidR="00D75390" w:rsidRPr="00B10834" w:rsidRDefault="00D75390" w:rsidP="00D75390">
      <w:pPr>
        <w:pStyle w:val="PlainText"/>
        <w:rPr>
          <w:rFonts w:ascii="Arial" w:hAnsi="Arial" w:cs="Arial"/>
          <w:sz w:val="24"/>
          <w:szCs w:val="24"/>
          <w:lang w:eastAsia="en-US"/>
        </w:rPr>
      </w:pPr>
    </w:p>
    <w:p w14:paraId="20171698" w14:textId="77777777" w:rsidR="00D75390" w:rsidRPr="006D45C8" w:rsidRDefault="00D75390" w:rsidP="00D75390">
      <w:pPr>
        <w:ind w:left="720"/>
        <w:rPr>
          <w:rFonts w:ascii="Arial" w:hAnsi="Arial" w:cs="Arial"/>
        </w:rPr>
      </w:pPr>
      <w:r>
        <w:rPr>
          <w:rFonts w:ascii="Arial" w:hAnsi="Arial" w:cs="Arial"/>
        </w:rPr>
        <w:t>The Local Authorities (Capital Finance and Accounting) (</w:t>
      </w:r>
      <w:smartTag w:uri="urn:schemas-microsoft-com:office:smarttags" w:element="place">
        <w:smartTag w:uri="urn:schemas-microsoft-com:office:smarttags" w:element="country-region">
          <w:r>
            <w:rPr>
              <w:rFonts w:ascii="Arial" w:hAnsi="Arial" w:cs="Arial"/>
            </w:rPr>
            <w:t>England</w:t>
          </w:r>
        </w:smartTag>
      </w:smartTag>
      <w:r>
        <w:rPr>
          <w:rFonts w:ascii="Arial" w:hAnsi="Arial" w:cs="Arial"/>
        </w:rPr>
        <w:t xml:space="preserve">) (Amendment) Regulations 2008 came into force on 31 March 2008.  These regulations introduced several changes to the capital finance regime for local authorities (including fire authorities) in </w:t>
      </w:r>
      <w:smartTag w:uri="urn:schemas-microsoft-com:office:smarttags" w:element="place">
        <w:smartTag w:uri="urn:schemas-microsoft-com:office:smarttags" w:element="country-region">
          <w:r>
            <w:rPr>
              <w:rFonts w:ascii="Arial" w:hAnsi="Arial" w:cs="Arial"/>
            </w:rPr>
            <w:t>England</w:t>
          </w:r>
        </w:smartTag>
      </w:smartTag>
      <w:r>
        <w:rPr>
          <w:rFonts w:ascii="Arial" w:hAnsi="Arial" w:cs="Arial"/>
        </w:rPr>
        <w:t>.  The most significant of these was the new provision for dealing with the calculation of Minimum Revenue Provision (MRP), which is the amount that an authority charges to its revenue account in respect of the financing of capital expenditure.</w:t>
      </w:r>
    </w:p>
    <w:p w14:paraId="20171699" w14:textId="77777777" w:rsidR="00D75390" w:rsidRPr="0028544C" w:rsidRDefault="00D75390" w:rsidP="00D75390">
      <w:pPr>
        <w:pStyle w:val="PlainText"/>
        <w:ind w:left="720"/>
        <w:rPr>
          <w:rFonts w:ascii="Arial" w:hAnsi="Arial" w:cs="Arial"/>
          <w:sz w:val="22"/>
          <w:szCs w:val="22"/>
          <w:lang w:eastAsia="en-US"/>
        </w:rPr>
      </w:pPr>
    </w:p>
    <w:p w14:paraId="2017169A" w14:textId="678CACB4" w:rsidR="00D75390" w:rsidRDefault="00F53419" w:rsidP="00D75390">
      <w:pPr>
        <w:pStyle w:val="BodyTextIndent"/>
      </w:pPr>
      <w:r>
        <w:t>Under these</w:t>
      </w:r>
      <w:r w:rsidR="00D75390">
        <w:t xml:space="preserve"> regulations, an authority is required to set aside an amount of MRP, which it considers prudent.  Interpretation within the guidance states:</w:t>
      </w:r>
    </w:p>
    <w:p w14:paraId="2017169B" w14:textId="77777777" w:rsidR="00D75390" w:rsidRPr="0028544C" w:rsidRDefault="00D75390" w:rsidP="00D75390">
      <w:pPr>
        <w:pStyle w:val="BodyTextIndent"/>
        <w:rPr>
          <w:sz w:val="22"/>
          <w:szCs w:val="22"/>
        </w:rPr>
      </w:pPr>
    </w:p>
    <w:p w14:paraId="2017169C" w14:textId="77777777" w:rsidR="00D75390" w:rsidRDefault="00D75390" w:rsidP="00D75390">
      <w:pPr>
        <w:pStyle w:val="BodyTextIndent"/>
      </w:pPr>
      <w:r>
        <w:t>“Provision for the borrowing which financed the acquisition of an asset should be made over a period bearing some relation to that over which the asset continues to provide a service.”</w:t>
      </w:r>
    </w:p>
    <w:p w14:paraId="2017169D" w14:textId="77777777" w:rsidR="00D75390" w:rsidRDefault="00D75390" w:rsidP="00D75390">
      <w:pPr>
        <w:pStyle w:val="BodyTextIndent"/>
      </w:pPr>
    </w:p>
    <w:p w14:paraId="2017169E" w14:textId="77777777" w:rsidR="00D75390" w:rsidRDefault="00D75390" w:rsidP="00D75390">
      <w:pPr>
        <w:pStyle w:val="BodyTextIndent"/>
      </w:pPr>
      <w:r>
        <w:t>Essentially, this means that provision charged to the revenue account in respect of borrowing must reflect the lives of the assets, for which funds have been borrowed.</w:t>
      </w:r>
    </w:p>
    <w:p w14:paraId="2017169F" w14:textId="77777777" w:rsidR="00D75390" w:rsidRDefault="00D75390" w:rsidP="00D75390">
      <w:pPr>
        <w:pStyle w:val="BodyTextIndent"/>
      </w:pPr>
    </w:p>
    <w:p w14:paraId="201716A0" w14:textId="77777777" w:rsidR="00D75390" w:rsidRDefault="00D75390" w:rsidP="00D75390">
      <w:pPr>
        <w:pStyle w:val="BodyTextIndent"/>
      </w:pPr>
      <w:r w:rsidRPr="007617DD">
        <w:t xml:space="preserve">Authorities are required to produce an annual statement on their policy for MRP for each financial year. </w:t>
      </w:r>
      <w:r>
        <w:t xml:space="preserve"> </w:t>
      </w:r>
      <w:r w:rsidRPr="007617DD">
        <w:t>This statement is being submitt</w:t>
      </w:r>
      <w:r>
        <w:t>ed for the financial year 201</w:t>
      </w:r>
      <w:r w:rsidR="002D297B">
        <w:t>5</w:t>
      </w:r>
      <w:r>
        <w:t>/1</w:t>
      </w:r>
      <w:r w:rsidR="002D297B">
        <w:t>6</w:t>
      </w:r>
      <w:r w:rsidRPr="007617DD">
        <w:t>, prior to the start of the financial year.</w:t>
      </w:r>
    </w:p>
    <w:p w14:paraId="201716A1" w14:textId="77777777" w:rsidR="00B15530" w:rsidRPr="007617DD" w:rsidRDefault="00B15530" w:rsidP="00D75390">
      <w:pPr>
        <w:pStyle w:val="BodyTextIndent"/>
      </w:pPr>
    </w:p>
    <w:p w14:paraId="201716A2" w14:textId="77777777" w:rsidR="00E050A6" w:rsidRDefault="00E050A6" w:rsidP="00F53419">
      <w:pPr>
        <w:pStyle w:val="sssubhead1"/>
      </w:pPr>
      <w:r>
        <w:t>Options</w:t>
      </w:r>
    </w:p>
    <w:p w14:paraId="201716A3" w14:textId="77777777" w:rsidR="00E050A6" w:rsidRPr="006D45C8" w:rsidRDefault="00E050A6" w:rsidP="00E050A6">
      <w:pPr>
        <w:widowControl w:val="0"/>
        <w:rPr>
          <w:rFonts w:ascii="Arial" w:hAnsi="Arial" w:cs="Arial"/>
          <w:snapToGrid w:val="0"/>
          <w:lang w:eastAsia="en-US"/>
        </w:rPr>
      </w:pPr>
    </w:p>
    <w:p w14:paraId="201716A4" w14:textId="77777777" w:rsidR="00E050A6" w:rsidRDefault="00E050A6" w:rsidP="00E050A6">
      <w:pPr>
        <w:widowControl w:val="0"/>
        <w:ind w:left="720"/>
        <w:rPr>
          <w:rFonts w:ascii="Arial" w:hAnsi="Arial" w:cs="Arial"/>
          <w:snapToGrid w:val="0"/>
          <w:lang w:eastAsia="en-US"/>
        </w:rPr>
      </w:pPr>
      <w:r>
        <w:rPr>
          <w:rFonts w:ascii="Arial" w:hAnsi="Arial" w:cs="Arial"/>
          <w:snapToGrid w:val="0"/>
          <w:lang w:eastAsia="en-US"/>
        </w:rPr>
        <w:t>The guidance on prudent provision contains four options for calculating MRP. Authorities may choose an alternative method, but must demonstrate that it is prudent.  The policy set out</w:t>
      </w:r>
      <w:r w:rsidR="00E85D03">
        <w:rPr>
          <w:rFonts w:ascii="Arial" w:hAnsi="Arial" w:cs="Arial"/>
          <w:snapToGrid w:val="0"/>
          <w:lang w:eastAsia="en-US"/>
        </w:rPr>
        <w:t xml:space="preserve"> below</w:t>
      </w:r>
      <w:r>
        <w:rPr>
          <w:rFonts w:ascii="Arial" w:hAnsi="Arial" w:cs="Arial"/>
          <w:snapToGrid w:val="0"/>
          <w:lang w:eastAsia="en-US"/>
        </w:rPr>
        <w:t xml:space="preserve"> is recommended to Members for use by the Fire Authority:</w:t>
      </w:r>
    </w:p>
    <w:p w14:paraId="201716A5" w14:textId="77777777" w:rsidR="00E050A6" w:rsidRPr="0028544C" w:rsidRDefault="00E050A6" w:rsidP="00E050A6">
      <w:pPr>
        <w:widowControl w:val="0"/>
        <w:ind w:left="720"/>
        <w:rPr>
          <w:rFonts w:ascii="Arial" w:hAnsi="Arial" w:cs="Arial"/>
          <w:snapToGrid w:val="0"/>
          <w:sz w:val="22"/>
          <w:szCs w:val="22"/>
          <w:lang w:eastAsia="en-US"/>
        </w:rPr>
      </w:pPr>
    </w:p>
    <w:p w14:paraId="201716A6" w14:textId="77777777" w:rsidR="00E050A6" w:rsidRDefault="00E050A6" w:rsidP="00E050A6">
      <w:pPr>
        <w:widowControl w:val="0"/>
        <w:numPr>
          <w:ilvl w:val="0"/>
          <w:numId w:val="32"/>
        </w:numPr>
        <w:tabs>
          <w:tab w:val="clear" w:pos="1080"/>
          <w:tab w:val="num" w:pos="1276"/>
        </w:tabs>
        <w:ind w:left="1276" w:hanging="556"/>
        <w:rPr>
          <w:rFonts w:ascii="Arial" w:hAnsi="Arial" w:cs="Arial"/>
          <w:snapToGrid w:val="0"/>
          <w:lang w:eastAsia="en-US"/>
        </w:rPr>
      </w:pPr>
      <w:r>
        <w:rPr>
          <w:rFonts w:ascii="Arial" w:hAnsi="Arial" w:cs="Arial"/>
          <w:snapToGrid w:val="0"/>
          <w:lang w:eastAsia="en-US"/>
        </w:rPr>
        <w:t xml:space="preserve">For all borrowing incurred during or before 2006/07, the MRP applied in 2007/08 will be calculated on the basis of 4% of the Capital Financing Requirement (CFR). </w:t>
      </w:r>
    </w:p>
    <w:p w14:paraId="7CBF1603" w14:textId="283363DF" w:rsidR="005523B2" w:rsidRDefault="005523B2" w:rsidP="00E050A6">
      <w:pPr>
        <w:widowControl w:val="0"/>
        <w:ind w:left="1276"/>
        <w:rPr>
          <w:rFonts w:ascii="Arial" w:hAnsi="Arial" w:cs="Arial"/>
          <w:snapToGrid w:val="0"/>
          <w:lang w:eastAsia="en-US"/>
        </w:rPr>
      </w:pPr>
    </w:p>
    <w:p w14:paraId="2B20E664" w14:textId="77777777" w:rsidR="005523B2" w:rsidRDefault="005523B2" w:rsidP="00E050A6">
      <w:pPr>
        <w:widowControl w:val="0"/>
        <w:ind w:left="1276"/>
        <w:rPr>
          <w:rFonts w:ascii="Arial" w:hAnsi="Arial" w:cs="Arial"/>
          <w:snapToGrid w:val="0"/>
          <w:lang w:eastAsia="en-US"/>
        </w:rPr>
      </w:pPr>
    </w:p>
    <w:p w14:paraId="201716A8" w14:textId="77777777" w:rsidR="00E050A6" w:rsidRDefault="00E050A6" w:rsidP="00E050A6">
      <w:pPr>
        <w:widowControl w:val="0"/>
        <w:tabs>
          <w:tab w:val="num" w:pos="1276"/>
        </w:tabs>
        <w:ind w:left="1276"/>
        <w:rPr>
          <w:rFonts w:ascii="Arial" w:hAnsi="Arial" w:cs="Arial"/>
          <w:snapToGrid w:val="0"/>
          <w:lang w:eastAsia="en-US"/>
        </w:rPr>
      </w:pPr>
      <w:r>
        <w:rPr>
          <w:rFonts w:ascii="Arial" w:hAnsi="Arial" w:cs="Arial"/>
          <w:snapToGrid w:val="0"/>
          <w:lang w:eastAsia="en-US"/>
        </w:rPr>
        <w:lastRenderedPageBreak/>
        <w:t>This method was used for the 2007/08 financial year, and will continue to be used in future years for all capital expenditure incurred before 31 March 2007.  In addition, a voluntary revenue provision of 4% has been made on all assets, other than land and buildings, from schemes starting in 2005/06, to align financing costs to the lives of those assets.</w:t>
      </w:r>
    </w:p>
    <w:p w14:paraId="201716A9" w14:textId="77777777" w:rsidR="00E050A6" w:rsidRDefault="00E050A6" w:rsidP="00E050A6">
      <w:pPr>
        <w:widowControl w:val="0"/>
        <w:tabs>
          <w:tab w:val="num" w:pos="1276"/>
        </w:tabs>
        <w:ind w:left="1276" w:hanging="556"/>
        <w:rPr>
          <w:rFonts w:ascii="Arial" w:hAnsi="Arial" w:cs="Arial"/>
          <w:snapToGrid w:val="0"/>
          <w:lang w:eastAsia="en-US"/>
        </w:rPr>
      </w:pPr>
    </w:p>
    <w:p w14:paraId="201716AA" w14:textId="77777777" w:rsidR="00F72E0D" w:rsidRPr="00F946BE" w:rsidRDefault="00E050A6" w:rsidP="00F946BE">
      <w:pPr>
        <w:widowControl w:val="0"/>
        <w:numPr>
          <w:ilvl w:val="0"/>
          <w:numId w:val="32"/>
        </w:numPr>
        <w:tabs>
          <w:tab w:val="clear" w:pos="1080"/>
          <w:tab w:val="num" w:pos="1276"/>
        </w:tabs>
        <w:ind w:left="1276" w:hanging="556"/>
        <w:rPr>
          <w:rFonts w:ascii="Arial" w:hAnsi="Arial" w:cs="Arial"/>
          <w:snapToGrid w:val="0"/>
          <w:lang w:eastAsia="en-US"/>
        </w:rPr>
      </w:pPr>
      <w:r>
        <w:rPr>
          <w:rFonts w:ascii="Arial" w:hAnsi="Arial" w:cs="Arial"/>
          <w:snapToGrid w:val="0"/>
          <w:lang w:eastAsia="en-US"/>
        </w:rPr>
        <w:t>For all borrowing incurred in 2007/08 and subsequently, the MRP applied has been calculated on the basis of the Asset Life method.  This method was selected, because it charges the financing costs of assets over the lives of those assets in equal instalments each year, and follows the same principles as the provisions made by the Fire Authority from 2006/07.  This method will be continued into the coming year.</w:t>
      </w:r>
    </w:p>
    <w:p w14:paraId="187C16CA" w14:textId="77777777" w:rsidR="00D44BFE" w:rsidRPr="006D45C8" w:rsidRDefault="00D44BFE" w:rsidP="00F72E0D">
      <w:pPr>
        <w:widowControl w:val="0"/>
        <w:rPr>
          <w:rFonts w:ascii="Arial" w:hAnsi="Arial" w:cs="Arial"/>
          <w:snapToGrid w:val="0"/>
          <w:lang w:eastAsia="en-US"/>
        </w:rPr>
      </w:pPr>
    </w:p>
    <w:p w14:paraId="201716AC" w14:textId="77777777" w:rsidR="002D297B" w:rsidRDefault="002D297B" w:rsidP="00F53419">
      <w:pPr>
        <w:pStyle w:val="sssubhead1"/>
      </w:pPr>
      <w:r>
        <w:t>Treasury Management Polic</w:t>
      </w:r>
      <w:r w:rsidR="006135B3">
        <w:t>y</w:t>
      </w:r>
    </w:p>
    <w:p w14:paraId="201716AD" w14:textId="77777777" w:rsidR="002D297B" w:rsidRPr="00973CB6" w:rsidRDefault="002D297B" w:rsidP="002D297B">
      <w:pPr>
        <w:pStyle w:val="PlainText"/>
        <w:rPr>
          <w:rFonts w:ascii="Arial" w:hAnsi="Arial" w:cs="Arial"/>
          <w:sz w:val="24"/>
          <w:szCs w:val="24"/>
        </w:rPr>
      </w:pPr>
    </w:p>
    <w:p w14:paraId="201716AE" w14:textId="5B8F8EFC" w:rsidR="00A21B2D" w:rsidRDefault="006F68BA" w:rsidP="00A21B2D">
      <w:pPr>
        <w:pStyle w:val="PlainText"/>
        <w:ind w:left="709"/>
        <w:rPr>
          <w:rFonts w:ascii="Arial" w:hAnsi="Arial" w:cs="Arial"/>
          <w:sz w:val="24"/>
          <w:szCs w:val="24"/>
        </w:rPr>
      </w:pPr>
      <w:r>
        <w:rPr>
          <w:rFonts w:ascii="Arial" w:hAnsi="Arial" w:cs="Arial"/>
          <w:sz w:val="24"/>
          <w:szCs w:val="24"/>
        </w:rPr>
        <w:t>The Treasurer has responsibility for Treasury Management, and as such carries out operations in accordance with the Author</w:t>
      </w:r>
      <w:r w:rsidR="00F53419">
        <w:rPr>
          <w:rFonts w:ascii="Arial" w:hAnsi="Arial" w:cs="Arial"/>
          <w:sz w:val="24"/>
          <w:szCs w:val="24"/>
        </w:rPr>
        <w:t xml:space="preserve">ity’s Treasury Strategy, above.  </w:t>
      </w:r>
      <w:r w:rsidR="006135B3">
        <w:rPr>
          <w:rFonts w:ascii="Arial" w:hAnsi="Arial" w:cs="Arial"/>
          <w:sz w:val="24"/>
          <w:szCs w:val="24"/>
        </w:rPr>
        <w:t>T</w:t>
      </w:r>
      <w:r>
        <w:rPr>
          <w:rFonts w:ascii="Arial" w:hAnsi="Arial" w:cs="Arial"/>
          <w:sz w:val="24"/>
          <w:szCs w:val="24"/>
        </w:rPr>
        <w:t>his responsibility</w:t>
      </w:r>
      <w:r w:rsidR="006135B3">
        <w:rPr>
          <w:rFonts w:ascii="Arial" w:hAnsi="Arial" w:cs="Arial"/>
          <w:sz w:val="24"/>
          <w:szCs w:val="24"/>
        </w:rPr>
        <w:t xml:space="preserve"> includes the preparation of the Treasury Management Practices,</w:t>
      </w:r>
      <w:r>
        <w:rPr>
          <w:rFonts w:ascii="Arial" w:hAnsi="Arial" w:cs="Arial"/>
          <w:sz w:val="24"/>
          <w:szCs w:val="24"/>
        </w:rPr>
        <w:t xml:space="preserve"> and the schedules specifying the systems and r</w:t>
      </w:r>
      <w:r w:rsidR="006135B3">
        <w:rPr>
          <w:rFonts w:ascii="Arial" w:hAnsi="Arial" w:cs="Arial"/>
          <w:sz w:val="24"/>
          <w:szCs w:val="24"/>
        </w:rPr>
        <w:t>outines to be employed.</w:t>
      </w:r>
    </w:p>
    <w:p w14:paraId="201716AF" w14:textId="77777777" w:rsidR="006135B3" w:rsidRDefault="006135B3" w:rsidP="00A21B2D">
      <w:pPr>
        <w:pStyle w:val="PlainText"/>
        <w:ind w:left="709"/>
        <w:rPr>
          <w:rFonts w:ascii="Arial" w:hAnsi="Arial" w:cs="Arial"/>
          <w:sz w:val="24"/>
          <w:szCs w:val="24"/>
        </w:rPr>
      </w:pPr>
    </w:p>
    <w:p w14:paraId="201716B0" w14:textId="77777777" w:rsidR="006135B3" w:rsidRDefault="006135B3" w:rsidP="00A21B2D">
      <w:pPr>
        <w:pStyle w:val="PlainText"/>
        <w:ind w:left="709"/>
        <w:rPr>
          <w:rFonts w:ascii="Arial" w:hAnsi="Arial" w:cs="Arial"/>
          <w:sz w:val="24"/>
          <w:szCs w:val="24"/>
        </w:rPr>
      </w:pPr>
      <w:r>
        <w:rPr>
          <w:rFonts w:ascii="Arial" w:hAnsi="Arial" w:cs="Arial"/>
          <w:sz w:val="24"/>
          <w:szCs w:val="24"/>
        </w:rPr>
        <w:t>The main principles of the Treasury Management Practices have not been reviewed since 2010; these will now be reviewed and presented to the Fire Authority on an annual basis.</w:t>
      </w:r>
    </w:p>
    <w:p w14:paraId="201716B1" w14:textId="77777777" w:rsidR="006135B3" w:rsidRDefault="006135B3" w:rsidP="00A21B2D">
      <w:pPr>
        <w:pStyle w:val="PlainText"/>
        <w:ind w:left="709"/>
        <w:rPr>
          <w:rFonts w:ascii="Arial" w:hAnsi="Arial" w:cs="Arial"/>
          <w:sz w:val="24"/>
          <w:szCs w:val="24"/>
        </w:rPr>
      </w:pPr>
    </w:p>
    <w:p w14:paraId="201716B2" w14:textId="77777777" w:rsidR="006135B3" w:rsidRPr="006F68BA" w:rsidRDefault="006135B3" w:rsidP="00A21B2D">
      <w:pPr>
        <w:pStyle w:val="PlainText"/>
        <w:ind w:left="709"/>
        <w:rPr>
          <w:rFonts w:ascii="Arial" w:hAnsi="Arial" w:cs="Arial"/>
          <w:sz w:val="24"/>
          <w:szCs w:val="24"/>
        </w:rPr>
      </w:pPr>
      <w:r>
        <w:rPr>
          <w:rFonts w:ascii="Arial" w:hAnsi="Arial" w:cs="Arial"/>
          <w:sz w:val="24"/>
          <w:szCs w:val="24"/>
        </w:rPr>
        <w:t>The updated Practices are shown at Appendix B.</w:t>
      </w:r>
    </w:p>
    <w:p w14:paraId="201716B3" w14:textId="77777777" w:rsidR="002D297B" w:rsidRPr="002D297B" w:rsidRDefault="002D297B" w:rsidP="002D297B">
      <w:pPr>
        <w:pStyle w:val="PlainText"/>
        <w:ind w:left="709"/>
        <w:rPr>
          <w:rFonts w:ascii="Arial" w:hAnsi="Arial" w:cs="Arial"/>
          <w:sz w:val="24"/>
          <w:szCs w:val="24"/>
        </w:rPr>
      </w:pPr>
    </w:p>
    <w:p w14:paraId="201716B4" w14:textId="77777777" w:rsidR="00F72E0D" w:rsidRDefault="00117B5F" w:rsidP="00F53419">
      <w:pPr>
        <w:pStyle w:val="sssubhead1"/>
      </w:pPr>
      <w:r>
        <w:t xml:space="preserve">Financial Implications </w:t>
      </w:r>
    </w:p>
    <w:p w14:paraId="201716B5" w14:textId="77777777" w:rsidR="00F72E0D" w:rsidRPr="006D45C8" w:rsidRDefault="00F72E0D" w:rsidP="00F72E0D">
      <w:pPr>
        <w:widowControl w:val="0"/>
        <w:rPr>
          <w:rFonts w:ascii="Arial" w:hAnsi="Arial" w:cs="Arial"/>
          <w:snapToGrid w:val="0"/>
          <w:lang w:eastAsia="en-US"/>
        </w:rPr>
      </w:pPr>
    </w:p>
    <w:p w14:paraId="201716B6" w14:textId="77777777" w:rsidR="00DF2254" w:rsidRPr="00975365" w:rsidRDefault="00E85D03" w:rsidP="00DF2254">
      <w:pPr>
        <w:widowControl w:val="0"/>
        <w:ind w:left="720"/>
        <w:rPr>
          <w:rFonts w:ascii="Arial" w:hAnsi="Arial" w:cs="Arial"/>
          <w:snapToGrid w:val="0"/>
          <w:lang w:eastAsia="en-US"/>
        </w:rPr>
      </w:pPr>
      <w:r>
        <w:rPr>
          <w:rFonts w:ascii="Arial" w:hAnsi="Arial" w:cs="Arial"/>
          <w:snapToGrid w:val="0"/>
          <w:lang w:eastAsia="en-US"/>
        </w:rPr>
        <w:t>F</w:t>
      </w:r>
      <w:r w:rsidR="00DF2254" w:rsidRPr="00975365">
        <w:rPr>
          <w:rFonts w:ascii="Arial" w:hAnsi="Arial" w:cs="Arial"/>
          <w:snapToGrid w:val="0"/>
          <w:lang w:eastAsia="en-US"/>
        </w:rPr>
        <w:t xml:space="preserve">inancial implications are as set out </w:t>
      </w:r>
      <w:r>
        <w:rPr>
          <w:rFonts w:ascii="Arial" w:hAnsi="Arial" w:cs="Arial"/>
          <w:snapToGrid w:val="0"/>
          <w:lang w:eastAsia="en-US"/>
        </w:rPr>
        <w:t>within this</w:t>
      </w:r>
      <w:r w:rsidR="00DF2254" w:rsidRPr="00975365">
        <w:rPr>
          <w:rFonts w:ascii="Arial" w:hAnsi="Arial" w:cs="Arial"/>
          <w:snapToGrid w:val="0"/>
          <w:lang w:eastAsia="en-US"/>
        </w:rPr>
        <w:t xml:space="preserve"> report.</w:t>
      </w:r>
    </w:p>
    <w:p w14:paraId="0280797E" w14:textId="77777777" w:rsidR="00973CB6" w:rsidRPr="006D45C8" w:rsidRDefault="00973CB6" w:rsidP="00F72E0D">
      <w:pPr>
        <w:widowControl w:val="0"/>
        <w:rPr>
          <w:rFonts w:ascii="Arial" w:hAnsi="Arial" w:cs="Arial"/>
          <w:snapToGrid w:val="0"/>
          <w:lang w:eastAsia="en-US"/>
        </w:rPr>
      </w:pPr>
    </w:p>
    <w:p w14:paraId="201716B8" w14:textId="77777777" w:rsidR="00591426" w:rsidRDefault="00591426" w:rsidP="00F53419">
      <w:pPr>
        <w:pStyle w:val="sssubhead1"/>
        <w:rPr>
          <w:snapToGrid w:val="0"/>
          <w:lang w:eastAsia="en-US"/>
        </w:rPr>
      </w:pPr>
      <w:r>
        <w:rPr>
          <w:snapToGrid w:val="0"/>
          <w:lang w:eastAsia="en-US"/>
        </w:rPr>
        <w:t>Legal Comment</w:t>
      </w:r>
    </w:p>
    <w:p w14:paraId="201716B9" w14:textId="77777777" w:rsidR="00591426" w:rsidRPr="006D45C8" w:rsidRDefault="00591426" w:rsidP="00F72E0D">
      <w:pPr>
        <w:widowControl w:val="0"/>
        <w:rPr>
          <w:rFonts w:ascii="Arial" w:hAnsi="Arial" w:cs="Arial"/>
          <w:snapToGrid w:val="0"/>
          <w:lang w:eastAsia="en-US"/>
        </w:rPr>
      </w:pPr>
    </w:p>
    <w:p w14:paraId="201716BA" w14:textId="77777777" w:rsidR="00DF2254" w:rsidRPr="00975365" w:rsidRDefault="00DF2254" w:rsidP="00DF2254">
      <w:pPr>
        <w:widowControl w:val="0"/>
        <w:ind w:left="720"/>
        <w:rPr>
          <w:rFonts w:ascii="Arial" w:hAnsi="Arial" w:cs="Arial"/>
          <w:snapToGrid w:val="0"/>
          <w:lang w:eastAsia="en-US"/>
        </w:rPr>
      </w:pPr>
      <w:r>
        <w:rPr>
          <w:rFonts w:ascii="Arial" w:hAnsi="Arial" w:cs="Arial"/>
          <w:snapToGrid w:val="0"/>
          <w:lang w:eastAsia="en-US"/>
        </w:rPr>
        <w:t>T</w:t>
      </w:r>
      <w:r w:rsidRPr="007F65E2">
        <w:rPr>
          <w:rFonts w:ascii="Arial" w:hAnsi="Arial" w:cs="Arial"/>
          <w:snapToGrid w:val="0"/>
          <w:lang w:eastAsia="en-US"/>
        </w:rPr>
        <w:t>he Local Government Act 2003</w:t>
      </w:r>
      <w:r>
        <w:rPr>
          <w:rFonts w:ascii="Arial" w:hAnsi="Arial" w:cs="Arial"/>
          <w:snapToGrid w:val="0"/>
          <w:lang w:eastAsia="en-US"/>
        </w:rPr>
        <w:t xml:space="preserve"> requires the Fire Authority </w:t>
      </w:r>
      <w:r w:rsidRPr="007F65E2">
        <w:rPr>
          <w:rFonts w:ascii="Arial" w:hAnsi="Arial" w:cs="Arial"/>
          <w:snapToGrid w:val="0"/>
          <w:lang w:eastAsia="en-US"/>
        </w:rPr>
        <w:t>to “determine and keep under review how much money it can afford to borrow”.  In doing so</w:t>
      </w:r>
      <w:r>
        <w:rPr>
          <w:rFonts w:ascii="Arial" w:hAnsi="Arial" w:cs="Arial"/>
          <w:snapToGrid w:val="0"/>
          <w:lang w:eastAsia="en-US"/>
        </w:rPr>
        <w:t>,</w:t>
      </w:r>
      <w:r w:rsidRPr="007F65E2">
        <w:rPr>
          <w:rFonts w:ascii="Arial" w:hAnsi="Arial" w:cs="Arial"/>
          <w:snapToGrid w:val="0"/>
          <w:lang w:eastAsia="en-US"/>
        </w:rPr>
        <w:t xml:space="preserve"> it “shall have regard to the Prudential Code for Capital Finance in Local Authorities”.</w:t>
      </w:r>
    </w:p>
    <w:p w14:paraId="201716BC" w14:textId="77777777" w:rsidR="001D116B" w:rsidRPr="006D45C8" w:rsidRDefault="001D116B" w:rsidP="00F72E0D">
      <w:pPr>
        <w:widowControl w:val="0"/>
        <w:rPr>
          <w:rFonts w:ascii="Arial" w:hAnsi="Arial" w:cs="Arial"/>
          <w:snapToGrid w:val="0"/>
          <w:lang w:eastAsia="en-US"/>
        </w:rPr>
      </w:pPr>
    </w:p>
    <w:p w14:paraId="201716BD" w14:textId="77777777" w:rsidR="0082640F" w:rsidRDefault="0082640F" w:rsidP="00F53419">
      <w:pPr>
        <w:pStyle w:val="sssubhead1"/>
        <w:rPr>
          <w:snapToGrid w:val="0"/>
          <w:lang w:eastAsia="en-US"/>
        </w:rPr>
      </w:pPr>
      <w:r>
        <w:rPr>
          <w:snapToGrid w:val="0"/>
          <w:lang w:eastAsia="en-US"/>
        </w:rPr>
        <w:t>Initial Impact Assessment</w:t>
      </w:r>
    </w:p>
    <w:p w14:paraId="201716BE" w14:textId="77777777" w:rsidR="0082640F" w:rsidRPr="0082640F" w:rsidRDefault="0082640F" w:rsidP="0082640F">
      <w:pPr>
        <w:pStyle w:val="PlainText"/>
        <w:rPr>
          <w:rFonts w:ascii="Arial" w:hAnsi="Arial" w:cs="Arial"/>
          <w:sz w:val="24"/>
          <w:szCs w:val="24"/>
          <w:lang w:eastAsia="en-US"/>
        </w:rPr>
      </w:pPr>
    </w:p>
    <w:p w14:paraId="201716BF" w14:textId="77777777" w:rsidR="0082640F" w:rsidRPr="00B7144B" w:rsidRDefault="00B7144B" w:rsidP="0082640F">
      <w:pPr>
        <w:pStyle w:val="PlainText"/>
        <w:ind w:left="720"/>
        <w:rPr>
          <w:rFonts w:ascii="Arial" w:hAnsi="Arial" w:cs="Arial"/>
          <w:sz w:val="24"/>
          <w:szCs w:val="24"/>
          <w:lang w:eastAsia="en-US"/>
        </w:rPr>
      </w:pPr>
      <w:r w:rsidRPr="00B7144B">
        <w:rPr>
          <w:rFonts w:ascii="Arial" w:hAnsi="Arial" w:cs="Arial"/>
          <w:sz w:val="24"/>
          <w:szCs w:val="24"/>
          <w:lang w:eastAsia="en-US"/>
        </w:rPr>
        <w:t xml:space="preserve">An </w:t>
      </w:r>
      <w:r w:rsidR="0082640F" w:rsidRPr="00B7144B">
        <w:rPr>
          <w:rFonts w:ascii="Arial" w:hAnsi="Arial" w:cs="Arial"/>
          <w:sz w:val="24"/>
          <w:szCs w:val="24"/>
          <w:lang w:eastAsia="en-US"/>
        </w:rPr>
        <w:t>Initial Impact Assessment form</w:t>
      </w:r>
      <w:r w:rsidRPr="00B7144B">
        <w:rPr>
          <w:rFonts w:ascii="Arial" w:hAnsi="Arial" w:cs="Arial"/>
          <w:sz w:val="24"/>
          <w:szCs w:val="24"/>
          <w:lang w:eastAsia="en-US"/>
        </w:rPr>
        <w:t xml:space="preserve"> has been completed.</w:t>
      </w:r>
    </w:p>
    <w:p w14:paraId="201716C0" w14:textId="77777777" w:rsidR="0082640F" w:rsidRPr="0082640F" w:rsidRDefault="0082640F" w:rsidP="0082640F">
      <w:pPr>
        <w:pStyle w:val="PlainText"/>
        <w:rPr>
          <w:rFonts w:ascii="Arial" w:hAnsi="Arial" w:cs="Arial"/>
          <w:sz w:val="24"/>
          <w:szCs w:val="24"/>
          <w:lang w:eastAsia="en-US"/>
        </w:rPr>
      </w:pPr>
    </w:p>
    <w:p w14:paraId="0E7AFC48" w14:textId="5A4C9372" w:rsidR="00F53419" w:rsidRPr="00F53419" w:rsidRDefault="00F53419" w:rsidP="00F53419">
      <w:pPr>
        <w:pStyle w:val="sssubhead1"/>
      </w:pPr>
      <w:r w:rsidRPr="00F53419">
        <w:t>Equality Impact Assessment</w:t>
      </w:r>
      <w:r w:rsidRPr="00F53419">
        <w:tab/>
      </w:r>
    </w:p>
    <w:p w14:paraId="1F2CFBD9" w14:textId="77777777" w:rsidR="00F53419" w:rsidRDefault="00F53419" w:rsidP="00F53419">
      <w:pPr>
        <w:pStyle w:val="PlainText"/>
        <w:rPr>
          <w:rFonts w:ascii="Arial" w:hAnsi="Arial" w:cs="Arial"/>
          <w:sz w:val="24"/>
          <w:szCs w:val="24"/>
          <w:lang w:eastAsia="en-US"/>
        </w:rPr>
      </w:pPr>
    </w:p>
    <w:p w14:paraId="1BC67552" w14:textId="77777777" w:rsidR="00F53419" w:rsidRDefault="00F53419" w:rsidP="00F53419">
      <w:pPr>
        <w:pStyle w:val="PlainText"/>
        <w:ind w:left="720"/>
        <w:rPr>
          <w:rFonts w:ascii="Arial" w:hAnsi="Arial" w:cs="Arial"/>
          <w:sz w:val="24"/>
          <w:szCs w:val="24"/>
          <w:lang w:val="en-US"/>
        </w:rPr>
      </w:pPr>
      <w:r w:rsidRPr="000036E0">
        <w:rPr>
          <w:rFonts w:ascii="Arial" w:hAnsi="Arial" w:cs="Arial"/>
          <w:sz w:val="24"/>
          <w:szCs w:val="24"/>
          <w:lang w:val="en-US"/>
        </w:rPr>
        <w:t>Officers have considered the Service’s Brigade Order on Equality Impact Assessments (Human Resources 5 Part 2) and have decided that there are no discriminatory practices or differential impacts upon specific groups arising from this report.  An Initial Equality Impact Assessment is not, therefore, required.</w:t>
      </w:r>
      <w:r>
        <w:rPr>
          <w:rFonts w:ascii="Arial" w:hAnsi="Arial" w:cs="Arial"/>
          <w:sz w:val="24"/>
          <w:szCs w:val="24"/>
          <w:lang w:val="en-US"/>
        </w:rPr>
        <w:t xml:space="preserve"> </w:t>
      </w:r>
    </w:p>
    <w:p w14:paraId="201716C1" w14:textId="77777777" w:rsidR="005B53B1" w:rsidRPr="00EB4C4A" w:rsidRDefault="00F72E0D" w:rsidP="00F53419">
      <w:pPr>
        <w:pStyle w:val="sssubhead1"/>
        <w:rPr>
          <w:snapToGrid w:val="0"/>
          <w:lang w:eastAsia="en-US"/>
        </w:rPr>
      </w:pPr>
      <w:r>
        <w:rPr>
          <w:snapToGrid w:val="0"/>
          <w:lang w:eastAsia="en-US"/>
        </w:rPr>
        <w:lastRenderedPageBreak/>
        <w:t>Appendi</w:t>
      </w:r>
      <w:r w:rsidR="009D1C8B">
        <w:rPr>
          <w:snapToGrid w:val="0"/>
          <w:lang w:eastAsia="en-US"/>
        </w:rPr>
        <w:t>ces</w:t>
      </w:r>
    </w:p>
    <w:p w14:paraId="201716C2" w14:textId="77777777" w:rsidR="007B08DA" w:rsidRPr="00A13231" w:rsidRDefault="007B08DA" w:rsidP="00DF2254">
      <w:pPr>
        <w:widowControl w:val="0"/>
        <w:rPr>
          <w:rFonts w:ascii="Arial" w:hAnsi="Arial" w:cs="Arial"/>
          <w:snapToGrid w:val="0"/>
          <w:lang w:eastAsia="en-US"/>
        </w:rPr>
      </w:pPr>
    </w:p>
    <w:p w14:paraId="7455F017" w14:textId="77777777" w:rsidR="00973CB6" w:rsidRDefault="009D1C8B" w:rsidP="00DF2254">
      <w:pPr>
        <w:widowControl w:val="0"/>
        <w:ind w:left="720"/>
        <w:rPr>
          <w:rFonts w:ascii="Arial" w:hAnsi="Arial" w:cs="Arial"/>
          <w:snapToGrid w:val="0"/>
          <w:lang w:eastAsia="en-US"/>
        </w:rPr>
      </w:pPr>
      <w:r w:rsidRPr="00973CB6">
        <w:rPr>
          <w:rFonts w:ascii="Arial" w:hAnsi="Arial" w:cs="Arial"/>
          <w:b/>
          <w:snapToGrid w:val="0"/>
          <w:lang w:eastAsia="en-US"/>
        </w:rPr>
        <w:t>Appendix A</w:t>
      </w:r>
      <w:r>
        <w:rPr>
          <w:rFonts w:ascii="Arial" w:hAnsi="Arial" w:cs="Arial"/>
          <w:snapToGrid w:val="0"/>
          <w:lang w:eastAsia="en-US"/>
        </w:rPr>
        <w:t xml:space="preserve"> </w:t>
      </w:r>
    </w:p>
    <w:p w14:paraId="01F4E1D3" w14:textId="77777777" w:rsidR="00F51451" w:rsidRDefault="009D1C8B" w:rsidP="00DF2254">
      <w:pPr>
        <w:widowControl w:val="0"/>
        <w:ind w:left="720"/>
        <w:rPr>
          <w:rFonts w:ascii="Arial" w:hAnsi="Arial"/>
        </w:rPr>
      </w:pPr>
      <w:r>
        <w:rPr>
          <w:rFonts w:ascii="Arial" w:hAnsi="Arial" w:cs="Arial"/>
          <w:snapToGrid w:val="0"/>
          <w:lang w:eastAsia="en-US"/>
        </w:rPr>
        <w:t>Exempt</w:t>
      </w:r>
      <w:r w:rsidR="00F51451">
        <w:rPr>
          <w:rFonts w:ascii="Arial" w:hAnsi="Arial" w:cs="Arial"/>
          <w:snapToGrid w:val="0"/>
          <w:lang w:eastAsia="en-US"/>
        </w:rPr>
        <w:t xml:space="preserve"> Paper 13</w:t>
      </w:r>
      <w:r w:rsidR="00DF2254" w:rsidRPr="004418DA">
        <w:rPr>
          <w:rFonts w:ascii="Arial" w:hAnsi="Arial" w:cs="Arial"/>
          <w:snapToGrid w:val="0"/>
          <w:lang w:eastAsia="en-US"/>
        </w:rPr>
        <w:t xml:space="preserve"> Capital Programmes </w:t>
      </w:r>
      <w:r w:rsidR="00DF2254" w:rsidRPr="004418DA">
        <w:rPr>
          <w:rFonts w:ascii="Arial" w:hAnsi="Arial"/>
        </w:rPr>
        <w:t>201</w:t>
      </w:r>
      <w:r>
        <w:rPr>
          <w:rFonts w:ascii="Arial" w:hAnsi="Arial"/>
        </w:rPr>
        <w:t>5</w:t>
      </w:r>
      <w:r w:rsidR="00DF2254" w:rsidRPr="004418DA">
        <w:rPr>
          <w:rFonts w:ascii="Arial" w:hAnsi="Arial"/>
        </w:rPr>
        <w:t>/1</w:t>
      </w:r>
      <w:r>
        <w:rPr>
          <w:rFonts w:ascii="Arial" w:hAnsi="Arial"/>
        </w:rPr>
        <w:t>6</w:t>
      </w:r>
      <w:r w:rsidR="00DF2254" w:rsidRPr="004418DA">
        <w:rPr>
          <w:rFonts w:ascii="Arial" w:hAnsi="Arial"/>
        </w:rPr>
        <w:t xml:space="preserve"> to 201</w:t>
      </w:r>
      <w:r>
        <w:rPr>
          <w:rFonts w:ascii="Arial" w:hAnsi="Arial"/>
        </w:rPr>
        <w:t>9</w:t>
      </w:r>
      <w:r w:rsidR="00DF2254" w:rsidRPr="004418DA">
        <w:rPr>
          <w:rFonts w:ascii="Arial" w:hAnsi="Arial"/>
        </w:rPr>
        <w:t>/1</w:t>
      </w:r>
      <w:r>
        <w:rPr>
          <w:rFonts w:ascii="Arial" w:hAnsi="Arial"/>
        </w:rPr>
        <w:t>2</w:t>
      </w:r>
      <w:r w:rsidR="00F51451">
        <w:rPr>
          <w:rFonts w:ascii="Arial" w:hAnsi="Arial"/>
        </w:rPr>
        <w:t xml:space="preserve"> and</w:t>
      </w:r>
    </w:p>
    <w:p w14:paraId="201716C3" w14:textId="2A881067" w:rsidR="00DF2254" w:rsidRDefault="00DD066F" w:rsidP="00DF2254">
      <w:pPr>
        <w:widowControl w:val="0"/>
        <w:ind w:left="720"/>
        <w:rPr>
          <w:rFonts w:ascii="Arial" w:hAnsi="Arial"/>
        </w:rPr>
      </w:pPr>
      <w:r>
        <w:rPr>
          <w:rFonts w:ascii="Arial" w:hAnsi="Arial"/>
        </w:rPr>
        <w:t>Prudential Guidelines</w:t>
      </w:r>
    </w:p>
    <w:p w14:paraId="3EB9D76D" w14:textId="77777777" w:rsidR="00973CB6" w:rsidRDefault="00973CB6" w:rsidP="00DF2254">
      <w:pPr>
        <w:widowControl w:val="0"/>
        <w:ind w:left="720"/>
        <w:rPr>
          <w:rFonts w:ascii="Arial" w:hAnsi="Arial"/>
        </w:rPr>
      </w:pPr>
    </w:p>
    <w:p w14:paraId="38D3E4B6" w14:textId="77777777" w:rsidR="00973CB6" w:rsidRDefault="00A21B2D" w:rsidP="00F72E0D">
      <w:pPr>
        <w:widowControl w:val="0"/>
        <w:rPr>
          <w:rFonts w:ascii="Arial" w:hAnsi="Arial" w:cs="Arial"/>
          <w:snapToGrid w:val="0"/>
          <w:lang w:eastAsia="en-US"/>
        </w:rPr>
      </w:pPr>
      <w:r>
        <w:rPr>
          <w:rFonts w:ascii="Arial" w:hAnsi="Arial" w:cs="Arial"/>
          <w:snapToGrid w:val="0"/>
          <w:lang w:eastAsia="en-US"/>
        </w:rPr>
        <w:tab/>
      </w:r>
      <w:r w:rsidR="009D1C8B" w:rsidRPr="00973CB6">
        <w:rPr>
          <w:rFonts w:ascii="Arial" w:hAnsi="Arial" w:cs="Arial"/>
          <w:b/>
          <w:snapToGrid w:val="0"/>
          <w:lang w:eastAsia="en-US"/>
        </w:rPr>
        <w:t>Appendix B</w:t>
      </w:r>
      <w:r w:rsidR="009D1C8B">
        <w:rPr>
          <w:rFonts w:ascii="Arial" w:hAnsi="Arial" w:cs="Arial"/>
          <w:snapToGrid w:val="0"/>
          <w:lang w:eastAsia="en-US"/>
        </w:rPr>
        <w:t xml:space="preserve"> </w:t>
      </w:r>
    </w:p>
    <w:p w14:paraId="201716C4" w14:textId="33F9DC5B" w:rsidR="005B53B1" w:rsidRPr="009D1C8B" w:rsidRDefault="00A21B2D" w:rsidP="00973CB6">
      <w:pPr>
        <w:widowControl w:val="0"/>
        <w:ind w:firstLine="709"/>
        <w:rPr>
          <w:rFonts w:ascii="Arial" w:hAnsi="Arial" w:cs="Arial"/>
          <w:b/>
          <w:snapToGrid w:val="0"/>
          <w:color w:val="FF0000"/>
          <w:lang w:eastAsia="en-US"/>
        </w:rPr>
      </w:pPr>
      <w:r w:rsidRPr="009D1C8B">
        <w:rPr>
          <w:rFonts w:ascii="Arial" w:hAnsi="Arial" w:cs="Arial"/>
          <w:snapToGrid w:val="0"/>
          <w:lang w:eastAsia="en-US"/>
        </w:rPr>
        <w:t>Treasury Management P</w:t>
      </w:r>
      <w:r w:rsidR="009D1C8B">
        <w:rPr>
          <w:rFonts w:ascii="Arial" w:hAnsi="Arial" w:cs="Arial"/>
          <w:snapToGrid w:val="0"/>
          <w:lang w:eastAsia="en-US"/>
        </w:rPr>
        <w:t>ractices</w:t>
      </w:r>
    </w:p>
    <w:p w14:paraId="201716C5" w14:textId="77777777" w:rsidR="00A21B2D" w:rsidRPr="00973CB6" w:rsidRDefault="00A21B2D" w:rsidP="00F72E0D">
      <w:pPr>
        <w:widowControl w:val="0"/>
        <w:rPr>
          <w:rFonts w:ascii="Arial" w:hAnsi="Arial" w:cs="Arial"/>
          <w:snapToGrid w:val="0"/>
          <w:lang w:eastAsia="en-US"/>
        </w:rPr>
      </w:pPr>
    </w:p>
    <w:p w14:paraId="201716C7" w14:textId="77777777" w:rsidR="00591426" w:rsidRPr="00EB4C4A" w:rsidRDefault="00591426" w:rsidP="00F53419">
      <w:pPr>
        <w:pStyle w:val="sssubhead1"/>
        <w:rPr>
          <w:snapToGrid w:val="0"/>
          <w:lang w:eastAsia="en-US"/>
        </w:rPr>
      </w:pPr>
      <w:r>
        <w:rPr>
          <w:snapToGrid w:val="0"/>
          <w:lang w:eastAsia="en-US"/>
        </w:rPr>
        <w:t>Background Papers</w:t>
      </w:r>
    </w:p>
    <w:p w14:paraId="201716C8" w14:textId="77777777" w:rsidR="00591426" w:rsidRPr="006D45C8" w:rsidRDefault="00591426" w:rsidP="00F72E0D">
      <w:pPr>
        <w:widowControl w:val="0"/>
        <w:rPr>
          <w:rFonts w:ascii="Arial" w:hAnsi="Arial" w:cs="Arial"/>
          <w:snapToGrid w:val="0"/>
          <w:lang w:eastAsia="en-US"/>
        </w:rPr>
      </w:pPr>
    </w:p>
    <w:p w14:paraId="201716C9" w14:textId="77777777" w:rsidR="00C3700F" w:rsidRPr="00975365" w:rsidRDefault="00C3700F" w:rsidP="00C3700F">
      <w:pPr>
        <w:widowControl w:val="0"/>
        <w:ind w:left="720"/>
        <w:rPr>
          <w:rFonts w:ascii="Arial" w:hAnsi="Arial" w:cs="Arial"/>
          <w:snapToGrid w:val="0"/>
          <w:lang w:eastAsia="en-US"/>
        </w:rPr>
      </w:pPr>
      <w:r w:rsidRPr="00975365">
        <w:rPr>
          <w:rFonts w:ascii="Arial" w:hAnsi="Arial" w:cs="Arial"/>
          <w:snapToGrid w:val="0"/>
          <w:lang w:eastAsia="en-US"/>
        </w:rPr>
        <w:t xml:space="preserve">Chartered </w:t>
      </w:r>
      <w:smartTag w:uri="urn:schemas-microsoft-com:office:smarttags" w:element="place">
        <w:smartTag w:uri="urn:schemas-microsoft-com:office:smarttags" w:element="PlaceType">
          <w:r w:rsidRPr="00975365">
            <w:rPr>
              <w:rFonts w:ascii="Arial" w:hAnsi="Arial" w:cs="Arial"/>
              <w:snapToGrid w:val="0"/>
              <w:lang w:eastAsia="en-US"/>
            </w:rPr>
            <w:t>Institute</w:t>
          </w:r>
        </w:smartTag>
        <w:r w:rsidRPr="00975365">
          <w:rPr>
            <w:rFonts w:ascii="Arial" w:hAnsi="Arial" w:cs="Arial"/>
            <w:snapToGrid w:val="0"/>
            <w:lang w:eastAsia="en-US"/>
          </w:rPr>
          <w:t xml:space="preserve"> of </w:t>
        </w:r>
        <w:smartTag w:uri="urn:schemas-microsoft-com:office:smarttags" w:element="PlaceName">
          <w:r w:rsidRPr="00975365">
            <w:rPr>
              <w:rFonts w:ascii="Arial" w:hAnsi="Arial" w:cs="Arial"/>
              <w:snapToGrid w:val="0"/>
              <w:lang w:eastAsia="en-US"/>
            </w:rPr>
            <w:t>Public</w:t>
          </w:r>
        </w:smartTag>
      </w:smartTag>
      <w:r w:rsidRPr="00975365">
        <w:rPr>
          <w:rFonts w:ascii="Arial" w:hAnsi="Arial" w:cs="Arial"/>
          <w:snapToGrid w:val="0"/>
          <w:lang w:eastAsia="en-US"/>
        </w:rPr>
        <w:t xml:space="preserve"> Finance and Accountancy (CIPFA) Code of Practice for Treasury Ma</w:t>
      </w:r>
      <w:r>
        <w:rPr>
          <w:rFonts w:ascii="Arial" w:hAnsi="Arial" w:cs="Arial"/>
          <w:snapToGrid w:val="0"/>
          <w:lang w:eastAsia="en-US"/>
        </w:rPr>
        <w:t>nagement in the Public Services</w:t>
      </w:r>
    </w:p>
    <w:p w14:paraId="201716CA" w14:textId="77777777" w:rsidR="00C3700F" w:rsidRDefault="00C3700F" w:rsidP="00C3700F">
      <w:pPr>
        <w:widowControl w:val="0"/>
        <w:rPr>
          <w:rFonts w:ascii="Arial" w:hAnsi="Arial" w:cs="Arial"/>
          <w:snapToGrid w:val="0"/>
          <w:lang w:eastAsia="en-US"/>
        </w:rPr>
      </w:pPr>
    </w:p>
    <w:p w14:paraId="666E1BA0" w14:textId="54F1D884" w:rsidR="00DD068D" w:rsidRDefault="00DD068D" w:rsidP="00C3700F">
      <w:pPr>
        <w:widowControl w:val="0"/>
        <w:rPr>
          <w:rFonts w:ascii="Arial" w:hAnsi="Arial" w:cs="Arial"/>
          <w:snapToGrid w:val="0"/>
          <w:lang w:eastAsia="en-US"/>
        </w:rPr>
      </w:pPr>
    </w:p>
    <w:p w14:paraId="6DC7614A" w14:textId="77777777" w:rsidR="00DD068D" w:rsidRDefault="00DD068D" w:rsidP="00C3700F">
      <w:pPr>
        <w:widowControl w:val="0"/>
        <w:rPr>
          <w:rFonts w:ascii="Arial" w:hAnsi="Arial" w:cs="Arial"/>
          <w:snapToGrid w:val="0"/>
          <w:lang w:eastAsia="en-US"/>
        </w:rPr>
        <w:sectPr w:rsidR="00DD068D" w:rsidSect="005523B2">
          <w:headerReference w:type="default" r:id="rId13"/>
          <w:footerReference w:type="default" r:id="rId14"/>
          <w:headerReference w:type="first" r:id="rId15"/>
          <w:footerReference w:type="first" r:id="rId16"/>
          <w:pgSz w:w="11907" w:h="16840" w:code="9"/>
          <w:pgMar w:top="1440" w:right="1440" w:bottom="1440" w:left="1440" w:header="289" w:footer="0" w:gutter="0"/>
          <w:cols w:space="708"/>
          <w:titlePg/>
          <w:docGrid w:linePitch="360"/>
        </w:sectPr>
      </w:pPr>
    </w:p>
    <w:p w14:paraId="6C6EE1DE"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color w:val="0000FF"/>
        </w:rPr>
      </w:pPr>
      <w:bookmarkStart w:id="0" w:name="_GoBack"/>
      <w:bookmarkEnd w:id="0"/>
    </w:p>
    <w:p w14:paraId="74DBF21D"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color w:val="0000FF"/>
        </w:rPr>
      </w:pPr>
    </w:p>
    <w:p w14:paraId="34E4351A"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color w:val="0000FF"/>
        </w:rPr>
      </w:pPr>
    </w:p>
    <w:p w14:paraId="31D5F5F2"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color w:val="0000FF"/>
        </w:rPr>
      </w:pPr>
    </w:p>
    <w:p w14:paraId="78491409"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color w:val="0000FF"/>
        </w:rPr>
      </w:pPr>
    </w:p>
    <w:p w14:paraId="26929648"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color w:val="0000FF"/>
        </w:rPr>
      </w:pPr>
    </w:p>
    <w:p w14:paraId="609C091E"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color w:val="0000FF"/>
        </w:rPr>
      </w:pPr>
    </w:p>
    <w:p w14:paraId="5D16B03E" w14:textId="77777777" w:rsidR="00DD068D" w:rsidRPr="0080076B"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rFonts w:ascii="Comic Sans MS" w:hAnsi="Comic Sans MS"/>
          <w:b/>
          <w:color w:val="9966F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0076B">
        <w:rPr>
          <w:rFonts w:ascii="Comic Sans MS" w:hAnsi="Comic Sans MS"/>
          <w:b/>
          <w:color w:val="9966FF"/>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TREASURY MANAGEMENT</w:t>
      </w:r>
    </w:p>
    <w:p w14:paraId="4A742D63"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6"/>
        </w:rPr>
      </w:pPr>
    </w:p>
    <w:p w14:paraId="65FE1A43" w14:textId="77777777" w:rsidR="00DD068D" w:rsidRPr="0004563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rFonts w:ascii="Comic Sans MS" w:hAnsi="Comic Sans MS"/>
          <w:b/>
          <w:color w:val="FFFF00"/>
          <w:sz w:val="48"/>
          <w:szCs w:val="48"/>
          <w14:textOutline w14:w="10541" w14:cap="flat" w14:cmpd="sng" w14:algn="ctr">
            <w14:solidFill>
              <w14:schemeClr w14:val="accent1">
                <w14:shade w14:val="88000"/>
                <w14:satMod w14:val="110000"/>
              </w14:schemeClr>
            </w14:solidFill>
            <w14:prstDash w14:val="solid"/>
            <w14:round/>
          </w14:textOutline>
        </w:rPr>
      </w:pPr>
      <w:r w:rsidRPr="0004563D">
        <w:rPr>
          <w:rFonts w:ascii="Comic Sans MS" w:hAnsi="Comic Sans MS"/>
          <w:b/>
          <w:color w:val="FFFF00"/>
          <w:sz w:val="48"/>
          <w:szCs w:val="48"/>
          <w14:textOutline w14:w="10541" w14:cap="flat" w14:cmpd="sng" w14:algn="ctr">
            <w14:solidFill>
              <w14:schemeClr w14:val="accent1">
                <w14:shade w14:val="88000"/>
                <w14:satMod w14:val="110000"/>
              </w14:schemeClr>
            </w14:solidFill>
            <w14:prstDash w14:val="solid"/>
            <w14:round/>
          </w14:textOutline>
        </w:rPr>
        <w:t>PRACTICES</w:t>
      </w:r>
    </w:p>
    <w:p w14:paraId="60425A60"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6"/>
        </w:rPr>
      </w:pPr>
    </w:p>
    <w:p w14:paraId="6C91ED23"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6"/>
        </w:rPr>
      </w:pPr>
    </w:p>
    <w:p w14:paraId="354356DE" w14:textId="77777777" w:rsidR="00DD068D" w:rsidRPr="00481A43"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rFonts w:ascii="Comic Sans MS" w:hAnsi="Comic Sans MS"/>
          <w:i/>
          <w:color w:val="FF3300"/>
          <w:sz w:val="76"/>
        </w:rPr>
      </w:pPr>
      <w:r>
        <w:rPr>
          <w:rFonts w:ascii="Comic Sans MS" w:hAnsi="Comic Sans MS"/>
          <w:i/>
          <w:noProof/>
          <w:color w:val="FF3300"/>
          <w:sz w:val="76"/>
          <w:szCs w:val="76"/>
        </w:rPr>
        <mc:AlternateContent>
          <mc:Choice Requires="wps">
            <w:drawing>
              <wp:inline distT="0" distB="0" distL="0" distR="0" wp14:anchorId="33E8A644" wp14:editId="7F3F4834">
                <wp:extent cx="4219575" cy="609600"/>
                <wp:effectExtent l="9525" t="9525" r="9525" b="9525"/>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19575" cy="609600"/>
                        </a:xfrm>
                        <a:prstGeom prst="rect">
                          <a:avLst/>
                        </a:prstGeom>
                        <a:extLst>
                          <a:ext uri="{AF507438-7753-43E0-B8FC-AC1667EBCBE1}">
                            <a14:hiddenEffects xmlns:a14="http://schemas.microsoft.com/office/drawing/2010/main">
                              <a:effectLst/>
                            </a14:hiddenEffects>
                          </a:ext>
                        </a:extLst>
                      </wps:spPr>
                      <wps:txbx>
                        <w:txbxContent>
                          <w:p w14:paraId="46ED25CC" w14:textId="77777777" w:rsidR="00DD068D" w:rsidRDefault="00DD068D" w:rsidP="00863D81">
                            <w:pPr>
                              <w:pStyle w:val="NormalWeb"/>
                              <w:spacing w:before="0" w:beforeAutospacing="0" w:after="0" w:afterAutospacing="0"/>
                              <w:jc w:val="center"/>
                              <w:rPr>
                                <w:rFonts w:ascii="Comic Sans MS" w:hAnsi="Comic Sans MS"/>
                                <w:color w:val="333399"/>
                                <w:sz w:val="64"/>
                                <w:szCs w:val="64"/>
                                <w14:textOutline w14:w="12700" w14:cap="flat" w14:cmpd="sng" w14:algn="ctr">
                                  <w14:solidFill>
                                    <w14:srgbClr w14:val="000000"/>
                                  </w14:solidFill>
                                  <w14:prstDash w14:val="solid"/>
                                  <w14:round/>
                                </w14:textOutline>
                                <w14:textFill>
                                  <w14:gradFill>
                                    <w14:gsLst>
                                      <w14:gs w14:pos="0">
                                        <w14:srgbClr w14:val="333399"/>
                                      </w14:gs>
                                      <w14:gs w14:pos="100000">
                                        <w14:srgbClr w14:val="6699FF"/>
                                      </w14:gs>
                                    </w14:gsLst>
                                    <w14:lin w14:ang="5400000" w14:scaled="1"/>
                                  </w14:gradFill>
                                </w14:textFill>
                              </w:rPr>
                            </w:pPr>
                            <w:r>
                              <w:rPr>
                                <w:rFonts w:ascii="Comic Sans MS" w:hAnsi="Comic Sans MS"/>
                                <w:color w:val="333399"/>
                                <w:sz w:val="64"/>
                                <w:szCs w:val="64"/>
                                <w14:textOutline w14:w="12700" w14:cap="flat" w14:cmpd="sng" w14:algn="ctr">
                                  <w14:solidFill>
                                    <w14:srgbClr w14:val="000000"/>
                                  </w14:solidFill>
                                  <w14:prstDash w14:val="solid"/>
                                  <w14:round/>
                                </w14:textOutline>
                                <w14:textFill>
                                  <w14:gradFill>
                                    <w14:gsLst>
                                      <w14:gs w14:pos="0">
                                        <w14:srgbClr w14:val="333399"/>
                                      </w14:gs>
                                      <w14:gs w14:pos="100000">
                                        <w14:srgbClr w14:val="6699FF"/>
                                      </w14:gs>
                                    </w14:gsLst>
                                    <w14:lin w14:ang="5400000" w14:scaled="1"/>
                                  </w14:gradFill>
                                </w14:textFill>
                              </w:rPr>
                              <w:t xml:space="preserve">Part 1: </w:t>
                            </w:r>
                          </w:p>
                          <w:p w14:paraId="12CFDC21" w14:textId="77777777" w:rsidR="00DD068D" w:rsidRDefault="00DD068D" w:rsidP="00863D81">
                            <w:pPr>
                              <w:pStyle w:val="NormalWeb"/>
                              <w:spacing w:before="0" w:beforeAutospacing="0" w:after="0" w:afterAutospacing="0"/>
                              <w:jc w:val="center"/>
                            </w:pPr>
                            <w:r>
                              <w:rPr>
                                <w:rFonts w:ascii="Comic Sans MS" w:hAnsi="Comic Sans MS"/>
                                <w:color w:val="333399"/>
                                <w:sz w:val="64"/>
                                <w:szCs w:val="64"/>
                                <w14:textOutline w14:w="12700" w14:cap="flat" w14:cmpd="sng" w14:algn="ctr">
                                  <w14:solidFill>
                                    <w14:srgbClr w14:val="000000"/>
                                  </w14:solidFill>
                                  <w14:prstDash w14:val="solid"/>
                                  <w14:round/>
                                </w14:textOutline>
                                <w14:textFill>
                                  <w14:gradFill>
                                    <w14:gsLst>
                                      <w14:gs w14:pos="0">
                                        <w14:srgbClr w14:val="333399"/>
                                      </w14:gs>
                                      <w14:gs w14:pos="100000">
                                        <w14:srgbClr w14:val="6699FF"/>
                                      </w14:gs>
                                    </w14:gsLst>
                                    <w14:lin w14:ang="5400000" w14:scaled="1"/>
                                  </w14:gradFill>
                                </w14:textFill>
                              </w:rPr>
                              <w:t>Main Principles</w:t>
                            </w:r>
                          </w:p>
                        </w:txbxContent>
                      </wps:txbx>
                      <wps:bodyPr wrap="square" numCol="1" fromWordArt="1">
                        <a:prstTxWarp prst="textPlain">
                          <a:avLst>
                            <a:gd name="adj" fmla="val 50000"/>
                          </a:avLst>
                        </a:prstTxWarp>
                        <a:spAutoFit/>
                      </wps:bodyPr>
                    </wps:wsp>
                  </a:graphicData>
                </a:graphic>
              </wp:inline>
            </w:drawing>
          </mc:Choice>
          <mc:Fallback>
            <w:pict>
              <v:shapetype w14:anchorId="33E8A644" id="_x0000_t202" coordsize="21600,21600" o:spt="202" path="m,l,21600r21600,l21600,xe">
                <v:stroke joinstyle="miter"/>
                <v:path gradientshapeok="t" o:connecttype="rect"/>
              </v:shapetype>
              <v:shape id="WordArt 1" o:spid="_x0000_s1026" type="#_x0000_t202" style="width:332.2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" filled="f" stroked="f">
                <o:lock v:ext="edit" shapetype="t"/>
                <v:textbox style="mso-fit-shape-to-text:t">
                  <w:txbxContent>
                    <w:p w14:paraId="46ED25CC" w14:textId="77777777" w:rsidR="00DD068D" w:rsidRDefault="00DD068D" w:rsidP="00863D81">
                      <w:pPr>
                        <w:pStyle w:val="NormalWeb"/>
                        <w:spacing w:before="0" w:beforeAutospacing="0" w:after="0" w:afterAutospacing="0"/>
                        <w:jc w:val="center"/>
                        <w:rPr>
                          <w:rFonts w:ascii="Comic Sans MS" w:hAnsi="Comic Sans MS"/>
                          <w:color w:val="333399"/>
                          <w:sz w:val="64"/>
                          <w:szCs w:val="64"/>
                          <w14:textOutline w14:w="12700" w14:cap="flat" w14:cmpd="sng" w14:algn="ctr">
                            <w14:solidFill>
                              <w14:srgbClr w14:val="000000"/>
                            </w14:solidFill>
                            <w14:prstDash w14:val="solid"/>
                            <w14:round/>
                          </w14:textOutline>
                          <w14:textFill>
                            <w14:gradFill>
                              <w14:gsLst>
                                <w14:gs w14:pos="0">
                                  <w14:srgbClr w14:val="333399"/>
                                </w14:gs>
                                <w14:gs w14:pos="100000">
                                  <w14:srgbClr w14:val="6699FF"/>
                                </w14:gs>
                              </w14:gsLst>
                              <w14:lin w14:ang="5400000" w14:scaled="1"/>
                            </w14:gradFill>
                          </w14:textFill>
                        </w:rPr>
                      </w:pPr>
                      <w:r>
                        <w:rPr>
                          <w:rFonts w:ascii="Comic Sans MS" w:hAnsi="Comic Sans MS"/>
                          <w:color w:val="333399"/>
                          <w:sz w:val="64"/>
                          <w:szCs w:val="64"/>
                          <w14:textOutline w14:w="12700" w14:cap="flat" w14:cmpd="sng" w14:algn="ctr">
                            <w14:solidFill>
                              <w14:srgbClr w14:val="000000"/>
                            </w14:solidFill>
                            <w14:prstDash w14:val="solid"/>
                            <w14:round/>
                          </w14:textOutline>
                          <w14:textFill>
                            <w14:gradFill>
                              <w14:gsLst>
                                <w14:gs w14:pos="0">
                                  <w14:srgbClr w14:val="333399"/>
                                </w14:gs>
                                <w14:gs w14:pos="100000">
                                  <w14:srgbClr w14:val="6699FF"/>
                                </w14:gs>
                              </w14:gsLst>
                              <w14:lin w14:ang="5400000" w14:scaled="1"/>
                            </w14:gradFill>
                          </w14:textFill>
                        </w:rPr>
                        <w:t xml:space="preserve">Part 1: </w:t>
                      </w:r>
                    </w:p>
                    <w:p w14:paraId="12CFDC21" w14:textId="77777777" w:rsidR="00DD068D" w:rsidRDefault="00DD068D" w:rsidP="00863D81">
                      <w:pPr>
                        <w:pStyle w:val="NormalWeb"/>
                        <w:spacing w:before="0" w:beforeAutospacing="0" w:after="0" w:afterAutospacing="0"/>
                        <w:jc w:val="center"/>
                      </w:pPr>
                      <w:r>
                        <w:rPr>
                          <w:rFonts w:ascii="Comic Sans MS" w:hAnsi="Comic Sans MS"/>
                          <w:color w:val="333399"/>
                          <w:sz w:val="64"/>
                          <w:szCs w:val="64"/>
                          <w14:textOutline w14:w="12700" w14:cap="flat" w14:cmpd="sng" w14:algn="ctr">
                            <w14:solidFill>
                              <w14:srgbClr w14:val="000000"/>
                            </w14:solidFill>
                            <w14:prstDash w14:val="solid"/>
                            <w14:round/>
                          </w14:textOutline>
                          <w14:textFill>
                            <w14:gradFill>
                              <w14:gsLst>
                                <w14:gs w14:pos="0">
                                  <w14:srgbClr w14:val="333399"/>
                                </w14:gs>
                                <w14:gs w14:pos="100000">
                                  <w14:srgbClr w14:val="6699FF"/>
                                </w14:gs>
                              </w14:gsLst>
                              <w14:lin w14:ang="5400000" w14:scaled="1"/>
                            </w14:gradFill>
                          </w14:textFill>
                        </w:rPr>
                        <w:t>Main Principles</w:t>
                      </w:r>
                    </w:p>
                  </w:txbxContent>
                </v:textbox>
                <w10:anchorlock/>
              </v:shape>
            </w:pict>
          </mc:Fallback>
        </mc:AlternateContent>
      </w:r>
    </w:p>
    <w:p w14:paraId="736865ED"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2"/>
        </w:rPr>
      </w:pPr>
    </w:p>
    <w:p w14:paraId="071B28CA"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2"/>
        </w:rPr>
      </w:pPr>
    </w:p>
    <w:p w14:paraId="37F8923E"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2"/>
        </w:rPr>
      </w:pPr>
    </w:p>
    <w:p w14:paraId="560F2B97" w14:textId="77777777" w:rsidR="00DD068D" w:rsidRPr="00481A43"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rFonts w:ascii="Comic Sans MS" w:hAnsi="Comic Sans MS"/>
          <w:b/>
          <w:i/>
          <w:color w:val="FF6600"/>
          <w:sz w:val="40"/>
          <w:szCs w:val="40"/>
        </w:rPr>
      </w:pPr>
      <w:r>
        <w:rPr>
          <w:rFonts w:ascii="Comic Sans MS" w:hAnsi="Comic Sans MS"/>
          <w:b/>
          <w:i/>
          <w:noProof/>
          <w:color w:val="FF6600"/>
          <w:sz w:val="40"/>
          <w:szCs w:val="40"/>
        </w:rPr>
        <mc:AlternateContent>
          <mc:Choice Requires="wps">
            <w:drawing>
              <wp:inline distT="0" distB="0" distL="0" distR="0" wp14:anchorId="39C1FA5D" wp14:editId="61AE84D8">
                <wp:extent cx="2590800" cy="752475"/>
                <wp:effectExtent l="9525" t="9525" r="9525" b="952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752475"/>
                        </a:xfrm>
                        <a:prstGeom prst="rect">
                          <a:avLst/>
                        </a:prstGeom>
                        <a:extLst>
                          <a:ext uri="{AF507438-7753-43E0-B8FC-AC1667EBCBE1}">
                            <a14:hiddenEffects xmlns:a14="http://schemas.microsoft.com/office/drawing/2010/main">
                              <a:effectLst/>
                            </a14:hiddenEffects>
                          </a:ext>
                        </a:extLst>
                      </wps:spPr>
                      <wps:txbx>
                        <w:txbxContent>
                          <w:p w14:paraId="4B3C895F" w14:textId="77777777" w:rsidR="00DD068D" w:rsidRDefault="00DD068D" w:rsidP="00863D81">
                            <w:pPr>
                              <w:pStyle w:val="NormalWeb"/>
                              <w:spacing w:before="0" w:beforeAutospacing="0" w:after="0" w:afterAutospacing="0"/>
                              <w:jc w:val="center"/>
                            </w:pPr>
                            <w:r>
                              <w:rPr>
                                <w:rFonts w:ascii="Comic Sans MS" w:hAnsi="Comic Sans MS"/>
                                <w:color w:val="FFFF03"/>
                                <w:sz w:val="40"/>
                                <w:szCs w:val="40"/>
                                <w14:textOutline w14:w="9525" w14:cap="flat" w14:cmpd="sng" w14:algn="ctr">
                                  <w14:solidFill>
                                    <w14:srgbClr w14:val="000000"/>
                                  </w14:solidFill>
                                  <w14:prstDash w14:val="solid"/>
                                  <w14:round/>
                                </w14:textOutline>
                                <w14:textFill>
                                  <w14:gradFill>
                                    <w14:gsLst>
                                      <w14:gs w14:pos="0">
                                        <w14:srgbClr w14:val="FFFF03"/>
                                      </w14:gs>
                                      <w14:gs w14:pos="100000">
                                        <w14:srgbClr w14:val="FFFF99"/>
                                      </w14:gs>
                                    </w14:gsLst>
                                    <w14:lin w14:ang="0" w14:scaled="1"/>
                                  </w14:gradFill>
                                </w14:textFill>
                              </w:rPr>
                              <w:t>April 2014</w:t>
                            </w:r>
                          </w:p>
                        </w:txbxContent>
                      </wps:txbx>
                      <wps:bodyPr wrap="square" numCol="1" fromWordArt="1">
                        <a:prstTxWarp prst="textPlain">
                          <a:avLst>
                            <a:gd name="adj" fmla="val 50000"/>
                          </a:avLst>
                        </a:prstTxWarp>
                        <a:spAutoFit/>
                      </wps:bodyPr>
                    </wps:wsp>
                  </a:graphicData>
                </a:graphic>
              </wp:inline>
            </w:drawing>
          </mc:Choice>
          <mc:Fallback>
            <w:pict>
              <v:shape w14:anchorId="39C1FA5D" id="WordArt 2" o:spid="_x0000_s1027" type="#_x0000_t202" style="width:204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" filled="f" stroked="f">
                <o:lock v:ext="edit" shapetype="t"/>
                <v:textbox style="mso-fit-shape-to-text:t">
                  <w:txbxContent>
                    <w:p w14:paraId="4B3C895F" w14:textId="77777777" w:rsidR="00DD068D" w:rsidRDefault="00DD068D" w:rsidP="00863D81">
                      <w:pPr>
                        <w:pStyle w:val="NormalWeb"/>
                        <w:spacing w:before="0" w:beforeAutospacing="0" w:after="0" w:afterAutospacing="0"/>
                        <w:jc w:val="center"/>
                      </w:pPr>
                      <w:r>
                        <w:rPr>
                          <w:rFonts w:ascii="Comic Sans MS" w:hAnsi="Comic Sans MS"/>
                          <w:color w:val="FFFF03"/>
                          <w:sz w:val="40"/>
                          <w:szCs w:val="40"/>
                          <w14:textOutline w14:w="9525" w14:cap="flat" w14:cmpd="sng" w14:algn="ctr">
                            <w14:solidFill>
                              <w14:srgbClr w14:val="000000"/>
                            </w14:solidFill>
                            <w14:prstDash w14:val="solid"/>
                            <w14:round/>
                          </w14:textOutline>
                          <w14:textFill>
                            <w14:gradFill>
                              <w14:gsLst>
                                <w14:gs w14:pos="0">
                                  <w14:srgbClr w14:val="FFFF03"/>
                                </w14:gs>
                                <w14:gs w14:pos="100000">
                                  <w14:srgbClr w14:val="FFFF99"/>
                                </w14:gs>
                              </w14:gsLst>
                              <w14:lin w14:ang="0" w14:scaled="1"/>
                            </w14:gradFill>
                          </w14:textFill>
                        </w:rPr>
                        <w:t>April 2014</w:t>
                      </w:r>
                    </w:p>
                  </w:txbxContent>
                </v:textbox>
                <w10:anchorlock/>
              </v:shape>
            </w:pict>
          </mc:Fallback>
        </mc:AlternateContent>
      </w:r>
    </w:p>
    <w:p w14:paraId="1F081C3F"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6"/>
        </w:rPr>
      </w:pPr>
    </w:p>
    <w:p w14:paraId="15304EF1"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6"/>
        </w:rPr>
      </w:pPr>
    </w:p>
    <w:p w14:paraId="795133E9"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6"/>
        </w:rPr>
      </w:pPr>
    </w:p>
    <w:p w14:paraId="3B4172F9"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6"/>
        </w:rPr>
      </w:pPr>
      <w:r>
        <w:rPr>
          <w:noProof/>
        </w:rPr>
        <w:drawing>
          <wp:inline distT="0" distB="0" distL="0" distR="0" wp14:anchorId="7F2B421C" wp14:editId="39941EBD">
            <wp:extent cx="2028825" cy="638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8825" cy="638175"/>
                    </a:xfrm>
                    <a:prstGeom prst="rect">
                      <a:avLst/>
                    </a:prstGeom>
                    <a:noFill/>
                    <a:ln>
                      <a:noFill/>
                    </a:ln>
                  </pic:spPr>
                </pic:pic>
              </a:graphicData>
            </a:graphic>
          </wp:inline>
        </w:drawing>
      </w:r>
    </w:p>
    <w:p w14:paraId="58E481B6"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6"/>
        </w:rPr>
      </w:pPr>
    </w:p>
    <w:p w14:paraId="5151195A"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6"/>
        </w:rPr>
      </w:pPr>
    </w:p>
    <w:p w14:paraId="2F4683AA"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6"/>
        </w:rPr>
      </w:pPr>
    </w:p>
    <w:p w14:paraId="3F35CECC" w14:textId="77777777" w:rsidR="00DD068D" w:rsidRDefault="00DD068D" w:rsidP="00AA3C42">
      <w:pPr>
        <w:pBdr>
          <w:top w:val="threeDEngrave" w:sz="24" w:space="1" w:color="333399"/>
          <w:left w:val="threeDEngrave" w:sz="24" w:space="1" w:color="333399"/>
          <w:bottom w:val="threeDEmboss" w:sz="24" w:space="1" w:color="333399"/>
          <w:right w:val="threeDEmboss" w:sz="24" w:space="1" w:color="333399"/>
        </w:pBdr>
        <w:jc w:val="center"/>
        <w:rPr>
          <w:b/>
          <w:i/>
          <w:color w:val="0000FF"/>
          <w:sz w:val="36"/>
        </w:rPr>
      </w:pPr>
    </w:p>
    <w:p w14:paraId="0E4B513D" w14:textId="77777777" w:rsidR="00DD068D" w:rsidRDefault="00DD068D">
      <w:pPr>
        <w:pStyle w:val="Subtitle"/>
        <w:ind w:right="-1555"/>
        <w:jc w:val="both"/>
        <w:rPr>
          <w:rFonts w:ascii="Arial" w:hAnsi="Arial"/>
          <w:sz w:val="32"/>
        </w:rPr>
      </w:pPr>
    </w:p>
    <w:p w14:paraId="7A783E90" w14:textId="77777777" w:rsidR="00DD068D" w:rsidRDefault="00DD068D">
      <w:pPr>
        <w:pStyle w:val="Subtitle"/>
        <w:ind w:right="-1555"/>
        <w:jc w:val="both"/>
        <w:rPr>
          <w:rFonts w:ascii="Arial" w:hAnsi="Arial"/>
          <w:sz w:val="32"/>
        </w:rPr>
      </w:pPr>
    </w:p>
    <w:p w14:paraId="494446C9" w14:textId="77777777" w:rsidR="00DD068D" w:rsidRDefault="00DD068D">
      <w:pPr>
        <w:pStyle w:val="Subtitle"/>
        <w:ind w:right="-1555"/>
        <w:jc w:val="both"/>
        <w:rPr>
          <w:rFonts w:ascii="Arial" w:hAnsi="Arial"/>
          <w:sz w:val="32"/>
        </w:rPr>
      </w:pPr>
      <w:r>
        <w:rPr>
          <w:rFonts w:ascii="Arial" w:hAnsi="Arial"/>
          <w:sz w:val="32"/>
        </w:rPr>
        <w:lastRenderedPageBreak/>
        <w:t>TREASURY MANAGEMENT PRACTICES</w:t>
      </w:r>
    </w:p>
    <w:p w14:paraId="5B5C6A4E" w14:textId="77777777" w:rsidR="00DD068D" w:rsidRDefault="00DD068D">
      <w:pPr>
        <w:pStyle w:val="BodyTextIndent2"/>
        <w:ind w:right="387" w:hanging="720"/>
      </w:pPr>
    </w:p>
    <w:p w14:paraId="036711A6" w14:textId="77777777" w:rsidR="00DD068D" w:rsidRDefault="00DD068D">
      <w:pPr>
        <w:pStyle w:val="BodyTextIndent2"/>
        <w:ind w:left="90" w:right="387"/>
      </w:pPr>
    </w:p>
    <w:p w14:paraId="241CC295" w14:textId="77777777" w:rsidR="00DD068D" w:rsidRDefault="00DD068D">
      <w:pPr>
        <w:pStyle w:val="BodyTextIndent2"/>
        <w:ind w:left="90" w:right="387"/>
        <w:rPr>
          <w:rFonts w:ascii="Arial" w:hAnsi="Arial"/>
        </w:rPr>
      </w:pPr>
      <w:r>
        <w:rPr>
          <w:rFonts w:ascii="Arial" w:hAnsi="Arial"/>
        </w:rPr>
        <w:t>Treasury Management Practices (TMPs) set out the manner in which Shropshire Council will seek to achieve its treasury management policies and objectives and how it will manage and control those activities.</w:t>
      </w:r>
    </w:p>
    <w:p w14:paraId="7E8D7F47" w14:textId="77777777" w:rsidR="00DD068D" w:rsidRDefault="00DD068D">
      <w:pPr>
        <w:tabs>
          <w:tab w:val="left" w:pos="7088"/>
        </w:tabs>
        <w:spacing w:line="480" w:lineRule="auto"/>
        <w:ind w:right="-1552"/>
        <w:jc w:val="both"/>
      </w:pPr>
    </w:p>
    <w:p w14:paraId="1558C473" w14:textId="77777777" w:rsidR="00DD068D" w:rsidRDefault="00DD068D">
      <w:pPr>
        <w:tabs>
          <w:tab w:val="center" w:pos="8820"/>
        </w:tabs>
        <w:spacing w:line="480" w:lineRule="auto"/>
        <w:ind w:left="720" w:right="-1552" w:hanging="720"/>
        <w:jc w:val="both"/>
        <w:rPr>
          <w:rFonts w:ascii="Tms Rmn" w:hAnsi="Tms Rmn"/>
          <w:b/>
          <w:sz w:val="22"/>
        </w:rPr>
      </w:pPr>
      <w:r>
        <w:rPr>
          <w:rFonts w:ascii="Tms Rmn" w:hAnsi="Tms Rmn"/>
          <w:sz w:val="22"/>
        </w:rPr>
        <w:tab/>
      </w:r>
      <w:r>
        <w:rPr>
          <w:rFonts w:ascii="Tms Rmn" w:hAnsi="Tms Rmn"/>
          <w:sz w:val="22"/>
        </w:rPr>
        <w:tab/>
      </w:r>
      <w:r>
        <w:rPr>
          <w:rFonts w:ascii="Tms Rmn" w:hAnsi="Tms Rmn"/>
          <w:sz w:val="22"/>
        </w:rPr>
        <w:tab/>
      </w:r>
      <w:r>
        <w:rPr>
          <w:rFonts w:ascii="Tms Rmn" w:hAnsi="Tms Rmn"/>
          <w:sz w:val="22"/>
        </w:rPr>
        <w:tab/>
      </w:r>
    </w:p>
    <w:p w14:paraId="09753AC9" w14:textId="77777777" w:rsidR="00DD068D" w:rsidRDefault="00DD068D">
      <w:pPr>
        <w:tabs>
          <w:tab w:val="right" w:pos="8910"/>
        </w:tabs>
        <w:spacing w:line="720" w:lineRule="auto"/>
        <w:ind w:left="86" w:right="-1555"/>
        <w:jc w:val="both"/>
        <w:rPr>
          <w:rFonts w:ascii="Arial" w:hAnsi="Arial"/>
          <w:b/>
          <w:sz w:val="22"/>
        </w:rPr>
      </w:pPr>
      <w:r>
        <w:rPr>
          <w:rFonts w:ascii="Arial" w:hAnsi="Arial"/>
          <w:b/>
          <w:sz w:val="22"/>
        </w:rPr>
        <w:t xml:space="preserve">TMP 1          Risk management </w:t>
      </w:r>
      <w:r>
        <w:rPr>
          <w:rFonts w:ascii="Arial" w:hAnsi="Arial"/>
          <w:b/>
          <w:sz w:val="22"/>
        </w:rPr>
        <w:tab/>
      </w:r>
      <w:r>
        <w:rPr>
          <w:rFonts w:ascii="Arial" w:hAnsi="Arial"/>
          <w:b/>
          <w:sz w:val="22"/>
        </w:rPr>
        <w:tab/>
      </w:r>
      <w:r>
        <w:rPr>
          <w:rFonts w:ascii="Arial" w:hAnsi="Arial"/>
          <w:b/>
          <w:sz w:val="22"/>
        </w:rPr>
        <w:tab/>
      </w:r>
    </w:p>
    <w:p w14:paraId="715CDDAD" w14:textId="77777777" w:rsidR="00DD068D" w:rsidRDefault="00DD068D">
      <w:pPr>
        <w:tabs>
          <w:tab w:val="left" w:pos="1260"/>
          <w:tab w:val="left" w:pos="2340"/>
          <w:tab w:val="left" w:pos="2700"/>
          <w:tab w:val="right" w:pos="8910"/>
        </w:tabs>
        <w:spacing w:line="720" w:lineRule="auto"/>
        <w:ind w:left="86" w:right="-1555"/>
        <w:jc w:val="both"/>
        <w:rPr>
          <w:rFonts w:ascii="Arial" w:hAnsi="Arial"/>
          <w:b/>
          <w:sz w:val="22"/>
        </w:rPr>
      </w:pPr>
      <w:r>
        <w:rPr>
          <w:rFonts w:ascii="Arial" w:hAnsi="Arial"/>
          <w:b/>
          <w:sz w:val="22"/>
        </w:rPr>
        <w:t>TMP 2          Performance measurement</w:t>
      </w:r>
      <w:r>
        <w:rPr>
          <w:rFonts w:ascii="Arial" w:hAnsi="Arial"/>
          <w:b/>
          <w:sz w:val="22"/>
        </w:rPr>
        <w:tab/>
      </w:r>
      <w:r>
        <w:rPr>
          <w:rFonts w:ascii="Arial" w:hAnsi="Arial"/>
          <w:b/>
          <w:sz w:val="22"/>
        </w:rPr>
        <w:tab/>
      </w:r>
      <w:r>
        <w:rPr>
          <w:rFonts w:ascii="Arial" w:hAnsi="Arial"/>
          <w:b/>
          <w:sz w:val="22"/>
        </w:rPr>
        <w:tab/>
      </w:r>
    </w:p>
    <w:p w14:paraId="12B11995" w14:textId="77777777" w:rsidR="00DD068D" w:rsidRDefault="00DD068D">
      <w:pPr>
        <w:tabs>
          <w:tab w:val="left" w:pos="1260"/>
          <w:tab w:val="left" w:pos="2340"/>
          <w:tab w:val="right" w:pos="2410"/>
          <w:tab w:val="right" w:pos="8910"/>
        </w:tabs>
        <w:spacing w:line="720" w:lineRule="auto"/>
        <w:ind w:left="86" w:right="-1555"/>
        <w:jc w:val="both"/>
        <w:rPr>
          <w:rFonts w:ascii="Arial" w:hAnsi="Arial"/>
          <w:b/>
          <w:sz w:val="22"/>
        </w:rPr>
      </w:pPr>
      <w:r>
        <w:rPr>
          <w:rFonts w:ascii="Arial" w:hAnsi="Arial"/>
          <w:b/>
          <w:sz w:val="22"/>
        </w:rPr>
        <w:t>TMP 3          Decision–making and analysis</w:t>
      </w:r>
      <w:r>
        <w:rPr>
          <w:rFonts w:ascii="Arial" w:hAnsi="Arial"/>
          <w:b/>
          <w:sz w:val="22"/>
        </w:rPr>
        <w:tab/>
      </w:r>
      <w:r>
        <w:rPr>
          <w:rFonts w:ascii="Arial" w:hAnsi="Arial"/>
          <w:b/>
          <w:sz w:val="22"/>
        </w:rPr>
        <w:tab/>
      </w:r>
      <w:r>
        <w:rPr>
          <w:rFonts w:ascii="Arial" w:hAnsi="Arial"/>
          <w:b/>
          <w:sz w:val="22"/>
        </w:rPr>
        <w:tab/>
      </w:r>
    </w:p>
    <w:p w14:paraId="2F2F139D" w14:textId="77777777" w:rsidR="00DD068D" w:rsidRDefault="00DD068D">
      <w:pPr>
        <w:pStyle w:val="BodyTextIndent3"/>
        <w:tabs>
          <w:tab w:val="clear" w:pos="8222"/>
          <w:tab w:val="left" w:pos="6096"/>
          <w:tab w:val="right" w:pos="8910"/>
        </w:tabs>
        <w:spacing w:line="720" w:lineRule="auto"/>
        <w:ind w:left="86" w:right="-1555" w:firstLine="0"/>
        <w:rPr>
          <w:rFonts w:ascii="Arial" w:hAnsi="Arial"/>
          <w:b/>
          <w:i w:val="0"/>
          <w:sz w:val="22"/>
          <w:lang w:val="en-US"/>
        </w:rPr>
      </w:pPr>
      <w:r>
        <w:rPr>
          <w:rFonts w:ascii="Arial" w:hAnsi="Arial"/>
          <w:b/>
          <w:i w:val="0"/>
          <w:sz w:val="22"/>
          <w:lang w:val="en-US"/>
        </w:rPr>
        <w:t>TMP 4          Approved instruments, methods and techniques</w:t>
      </w:r>
      <w:r>
        <w:rPr>
          <w:rFonts w:ascii="Arial" w:hAnsi="Arial"/>
          <w:b/>
          <w:i w:val="0"/>
          <w:sz w:val="22"/>
          <w:lang w:val="en-US"/>
        </w:rPr>
        <w:tab/>
      </w:r>
      <w:r>
        <w:rPr>
          <w:rFonts w:ascii="Arial" w:hAnsi="Arial"/>
          <w:b/>
          <w:i w:val="0"/>
          <w:sz w:val="22"/>
          <w:lang w:val="en-US"/>
        </w:rPr>
        <w:tab/>
      </w:r>
      <w:r>
        <w:rPr>
          <w:rFonts w:ascii="Arial" w:hAnsi="Arial"/>
          <w:b/>
          <w:i w:val="0"/>
          <w:sz w:val="22"/>
          <w:lang w:val="en-US"/>
        </w:rPr>
        <w:tab/>
      </w:r>
      <w:r>
        <w:rPr>
          <w:rFonts w:ascii="Arial" w:hAnsi="Arial"/>
          <w:b/>
          <w:i w:val="0"/>
          <w:sz w:val="22"/>
          <w:lang w:val="en-US"/>
        </w:rPr>
        <w:tab/>
      </w:r>
    </w:p>
    <w:p w14:paraId="3C104780" w14:textId="77777777" w:rsidR="00DD068D" w:rsidRDefault="00DD068D">
      <w:pPr>
        <w:pStyle w:val="BodyTextIndent3"/>
        <w:tabs>
          <w:tab w:val="left" w:pos="6096"/>
          <w:tab w:val="right" w:pos="8910"/>
        </w:tabs>
        <w:spacing w:line="720" w:lineRule="auto"/>
        <w:ind w:left="86" w:right="-1555" w:firstLine="0"/>
        <w:rPr>
          <w:rFonts w:ascii="Arial" w:hAnsi="Arial"/>
          <w:b/>
          <w:i w:val="0"/>
          <w:sz w:val="22"/>
          <w:lang w:val="en-US"/>
        </w:rPr>
      </w:pPr>
      <w:r>
        <w:rPr>
          <w:rFonts w:ascii="Arial" w:hAnsi="Arial"/>
          <w:b/>
          <w:i w:val="0"/>
          <w:sz w:val="22"/>
          <w:lang w:val="en-US"/>
        </w:rPr>
        <w:t>TMP 5          Organisation, clarity and segregation of responsibilities, and dealing arrangements</w:t>
      </w:r>
      <w:r>
        <w:rPr>
          <w:rFonts w:ascii="Arial" w:hAnsi="Arial"/>
          <w:b/>
          <w:i w:val="0"/>
          <w:sz w:val="22"/>
          <w:lang w:val="en-US"/>
        </w:rPr>
        <w:tab/>
      </w:r>
    </w:p>
    <w:p w14:paraId="5793CEB1" w14:textId="77777777" w:rsidR="00DD068D" w:rsidRDefault="00DD068D">
      <w:pPr>
        <w:pStyle w:val="BodyTextIndent3"/>
        <w:tabs>
          <w:tab w:val="left" w:pos="6096"/>
          <w:tab w:val="right" w:pos="8910"/>
        </w:tabs>
        <w:spacing w:line="720" w:lineRule="auto"/>
        <w:ind w:left="86" w:right="-1555" w:firstLine="0"/>
        <w:rPr>
          <w:rFonts w:ascii="Arial" w:hAnsi="Arial"/>
          <w:b/>
          <w:i w:val="0"/>
          <w:sz w:val="22"/>
          <w:lang w:val="en-US"/>
        </w:rPr>
      </w:pPr>
      <w:r>
        <w:rPr>
          <w:rFonts w:ascii="Arial" w:hAnsi="Arial"/>
          <w:b/>
          <w:i w:val="0"/>
          <w:sz w:val="22"/>
          <w:lang w:val="en-US"/>
        </w:rPr>
        <w:t>TMP 6          Reporting requirements and management information arrangements</w:t>
      </w:r>
      <w:r>
        <w:rPr>
          <w:rFonts w:ascii="Arial" w:hAnsi="Arial"/>
          <w:b/>
          <w:i w:val="0"/>
          <w:sz w:val="22"/>
          <w:lang w:val="en-US"/>
        </w:rPr>
        <w:tab/>
      </w:r>
      <w:r>
        <w:rPr>
          <w:rFonts w:ascii="Arial" w:hAnsi="Arial"/>
          <w:b/>
          <w:i w:val="0"/>
          <w:sz w:val="22"/>
          <w:lang w:val="en-US"/>
        </w:rPr>
        <w:tab/>
      </w:r>
      <w:r>
        <w:rPr>
          <w:rFonts w:ascii="Arial" w:hAnsi="Arial"/>
          <w:b/>
          <w:i w:val="0"/>
          <w:sz w:val="22"/>
          <w:lang w:val="en-US"/>
        </w:rPr>
        <w:tab/>
      </w:r>
      <w:r>
        <w:rPr>
          <w:rFonts w:ascii="Arial" w:hAnsi="Arial"/>
          <w:b/>
          <w:i w:val="0"/>
          <w:sz w:val="22"/>
          <w:lang w:val="en-US"/>
        </w:rPr>
        <w:tab/>
      </w:r>
    </w:p>
    <w:p w14:paraId="5C6D4A4B" w14:textId="77777777" w:rsidR="00DD068D" w:rsidRDefault="00DD068D">
      <w:pPr>
        <w:tabs>
          <w:tab w:val="left" w:pos="2700"/>
          <w:tab w:val="right" w:pos="8910"/>
        </w:tabs>
        <w:spacing w:line="720" w:lineRule="auto"/>
        <w:ind w:left="86" w:right="-1555"/>
        <w:jc w:val="both"/>
        <w:rPr>
          <w:rFonts w:ascii="Tms Rmn" w:hAnsi="Tms Rmn"/>
          <w:b/>
          <w:sz w:val="22"/>
        </w:rPr>
      </w:pPr>
      <w:r>
        <w:rPr>
          <w:rFonts w:ascii="Arial" w:hAnsi="Arial"/>
          <w:b/>
          <w:sz w:val="22"/>
        </w:rPr>
        <w:t>TMP 7          Budgeting, accounting and audit arrangements</w:t>
      </w:r>
      <w:r>
        <w:rPr>
          <w:rFonts w:ascii="Arial" w:hAnsi="Arial"/>
          <w:b/>
          <w:sz w:val="22"/>
        </w:rPr>
        <w:tab/>
      </w:r>
      <w:r>
        <w:rPr>
          <w:rFonts w:ascii="Arial" w:hAnsi="Arial"/>
          <w:b/>
          <w:sz w:val="22"/>
        </w:rPr>
        <w:tab/>
      </w:r>
      <w:r>
        <w:rPr>
          <w:rFonts w:ascii="Arial" w:hAnsi="Arial"/>
          <w:b/>
          <w:sz w:val="22"/>
        </w:rPr>
        <w:tab/>
      </w:r>
    </w:p>
    <w:p w14:paraId="67C811F6" w14:textId="77777777" w:rsidR="00DD068D" w:rsidRDefault="00DD068D">
      <w:pPr>
        <w:tabs>
          <w:tab w:val="left" w:pos="1890"/>
          <w:tab w:val="left" w:pos="2552"/>
          <w:tab w:val="left" w:pos="2700"/>
          <w:tab w:val="left" w:pos="3828"/>
          <w:tab w:val="right" w:pos="8910"/>
        </w:tabs>
        <w:spacing w:line="720" w:lineRule="auto"/>
        <w:ind w:left="86" w:right="-1555"/>
        <w:jc w:val="both"/>
        <w:rPr>
          <w:rFonts w:ascii="Tms Rmn" w:hAnsi="Tms Rmn"/>
          <w:b/>
          <w:sz w:val="22"/>
        </w:rPr>
      </w:pPr>
      <w:r>
        <w:rPr>
          <w:rFonts w:ascii="Arial" w:hAnsi="Arial"/>
          <w:b/>
          <w:sz w:val="22"/>
        </w:rPr>
        <w:t xml:space="preserve">TMP 8          Cash and cash flow management   </w:t>
      </w:r>
      <w:r>
        <w:rPr>
          <w:rFonts w:ascii="Arial" w:hAnsi="Arial"/>
          <w:b/>
          <w:sz w:val="22"/>
        </w:rPr>
        <w:tab/>
      </w:r>
      <w:r>
        <w:rPr>
          <w:rFonts w:ascii="Arial" w:hAnsi="Arial"/>
          <w:b/>
          <w:sz w:val="22"/>
        </w:rPr>
        <w:tab/>
      </w:r>
      <w:r>
        <w:rPr>
          <w:rFonts w:ascii="Arial" w:hAnsi="Arial"/>
          <w:b/>
          <w:sz w:val="22"/>
        </w:rPr>
        <w:tab/>
      </w:r>
    </w:p>
    <w:p w14:paraId="0165E7BB" w14:textId="77777777" w:rsidR="00DD068D" w:rsidRDefault="00DD068D">
      <w:pPr>
        <w:tabs>
          <w:tab w:val="left" w:pos="2340"/>
          <w:tab w:val="left" w:pos="2700"/>
          <w:tab w:val="right" w:pos="8910"/>
        </w:tabs>
        <w:spacing w:line="720" w:lineRule="auto"/>
        <w:ind w:left="86" w:right="-1555"/>
        <w:jc w:val="both"/>
        <w:rPr>
          <w:rFonts w:ascii="Arial" w:hAnsi="Arial"/>
          <w:b/>
          <w:sz w:val="22"/>
        </w:rPr>
      </w:pPr>
      <w:r>
        <w:rPr>
          <w:rFonts w:ascii="Arial" w:hAnsi="Arial"/>
          <w:b/>
          <w:sz w:val="22"/>
        </w:rPr>
        <w:t xml:space="preserve">TMP 9          Money laundering </w:t>
      </w:r>
      <w:r>
        <w:rPr>
          <w:rFonts w:ascii="Arial" w:hAnsi="Arial"/>
          <w:b/>
          <w:sz w:val="22"/>
        </w:rPr>
        <w:tab/>
      </w:r>
      <w:r>
        <w:rPr>
          <w:rFonts w:ascii="Arial" w:hAnsi="Arial"/>
          <w:b/>
          <w:sz w:val="22"/>
        </w:rPr>
        <w:tab/>
      </w:r>
      <w:r>
        <w:rPr>
          <w:rFonts w:ascii="Arial" w:hAnsi="Arial"/>
          <w:b/>
          <w:sz w:val="22"/>
        </w:rPr>
        <w:tab/>
      </w:r>
    </w:p>
    <w:p w14:paraId="3D77B0D9" w14:textId="77777777" w:rsidR="00DD068D" w:rsidRDefault="00DD068D">
      <w:pPr>
        <w:tabs>
          <w:tab w:val="left" w:pos="2340"/>
          <w:tab w:val="left" w:pos="2700"/>
          <w:tab w:val="left" w:pos="3828"/>
          <w:tab w:val="right" w:pos="8910"/>
        </w:tabs>
        <w:spacing w:line="720" w:lineRule="auto"/>
        <w:ind w:left="86" w:right="-1555"/>
        <w:jc w:val="both"/>
        <w:rPr>
          <w:rFonts w:ascii="Arial" w:hAnsi="Arial"/>
          <w:b/>
          <w:sz w:val="22"/>
        </w:rPr>
      </w:pPr>
      <w:r>
        <w:rPr>
          <w:rFonts w:ascii="Arial" w:hAnsi="Arial"/>
          <w:b/>
          <w:sz w:val="22"/>
        </w:rPr>
        <w:t>TMP 10        Training and qualifications</w:t>
      </w:r>
      <w:r>
        <w:rPr>
          <w:rFonts w:ascii="Arial" w:hAnsi="Arial"/>
          <w:b/>
          <w:sz w:val="22"/>
        </w:rPr>
        <w:tab/>
      </w:r>
      <w:r>
        <w:rPr>
          <w:rFonts w:ascii="Arial" w:hAnsi="Arial"/>
          <w:b/>
          <w:sz w:val="22"/>
        </w:rPr>
        <w:tab/>
      </w:r>
      <w:r>
        <w:rPr>
          <w:rFonts w:ascii="Arial" w:hAnsi="Arial"/>
          <w:b/>
          <w:sz w:val="22"/>
        </w:rPr>
        <w:tab/>
      </w:r>
    </w:p>
    <w:p w14:paraId="33C84C5A" w14:textId="77777777" w:rsidR="00DD068D" w:rsidRDefault="00DD068D">
      <w:pPr>
        <w:tabs>
          <w:tab w:val="left" w:pos="1260"/>
          <w:tab w:val="left" w:pos="2340"/>
          <w:tab w:val="left" w:pos="2700"/>
          <w:tab w:val="left" w:pos="3828"/>
          <w:tab w:val="right" w:pos="8910"/>
        </w:tabs>
        <w:spacing w:line="720" w:lineRule="auto"/>
        <w:ind w:left="86" w:right="-1555"/>
        <w:jc w:val="both"/>
        <w:rPr>
          <w:rFonts w:ascii="Arial" w:hAnsi="Arial"/>
          <w:b/>
          <w:sz w:val="22"/>
        </w:rPr>
      </w:pPr>
      <w:r>
        <w:rPr>
          <w:rFonts w:ascii="Arial" w:hAnsi="Arial"/>
          <w:b/>
          <w:sz w:val="22"/>
        </w:rPr>
        <w:t xml:space="preserve">TMP 11  </w:t>
      </w:r>
      <w:r>
        <w:rPr>
          <w:rFonts w:ascii="Arial" w:hAnsi="Arial"/>
          <w:b/>
          <w:sz w:val="22"/>
        </w:rPr>
        <w:tab/>
        <w:t xml:space="preserve"> Use of external service providers</w:t>
      </w:r>
      <w:r>
        <w:rPr>
          <w:rFonts w:ascii="Arial" w:hAnsi="Arial"/>
          <w:b/>
          <w:sz w:val="22"/>
        </w:rPr>
        <w:tab/>
      </w:r>
      <w:r>
        <w:rPr>
          <w:rFonts w:ascii="Arial" w:hAnsi="Arial"/>
          <w:b/>
          <w:sz w:val="22"/>
        </w:rPr>
        <w:tab/>
      </w:r>
      <w:r>
        <w:rPr>
          <w:rFonts w:ascii="Arial" w:hAnsi="Arial"/>
          <w:b/>
          <w:sz w:val="22"/>
        </w:rPr>
        <w:tab/>
      </w:r>
    </w:p>
    <w:p w14:paraId="2625DDA2" w14:textId="77777777" w:rsidR="00DD068D" w:rsidRDefault="00DD068D" w:rsidP="00894CE4">
      <w:pPr>
        <w:tabs>
          <w:tab w:val="left" w:pos="2700"/>
          <w:tab w:val="left" w:pos="3828"/>
          <w:tab w:val="right" w:pos="8910"/>
        </w:tabs>
        <w:spacing w:line="720" w:lineRule="auto"/>
        <w:ind w:right="-1555"/>
        <w:jc w:val="both"/>
        <w:rPr>
          <w:rFonts w:ascii="Arial" w:hAnsi="Arial"/>
          <w:b/>
          <w:sz w:val="22"/>
        </w:rPr>
      </w:pPr>
      <w:r>
        <w:rPr>
          <w:rFonts w:ascii="Arial" w:hAnsi="Arial"/>
          <w:b/>
          <w:sz w:val="22"/>
        </w:rPr>
        <w:t>TMP 12        Corporate governance</w:t>
      </w:r>
      <w:r>
        <w:rPr>
          <w:rFonts w:ascii="Arial" w:hAnsi="Arial"/>
          <w:b/>
          <w:sz w:val="22"/>
        </w:rPr>
        <w:tab/>
      </w:r>
      <w:r>
        <w:rPr>
          <w:rFonts w:ascii="Arial" w:hAnsi="Arial"/>
          <w:b/>
          <w:sz w:val="22"/>
        </w:rPr>
        <w:tab/>
      </w:r>
      <w:r>
        <w:rPr>
          <w:rFonts w:ascii="Arial" w:hAnsi="Arial"/>
          <w:b/>
          <w:sz w:val="22"/>
        </w:rPr>
        <w:tab/>
      </w:r>
      <w:r>
        <w:rPr>
          <w:rFonts w:ascii="Arial" w:hAnsi="Arial"/>
          <w:b/>
          <w:sz w:val="22"/>
        </w:rPr>
        <w:tab/>
      </w:r>
    </w:p>
    <w:p w14:paraId="47452EF1" w14:textId="77777777" w:rsidR="00DD068D" w:rsidRDefault="00DD068D" w:rsidP="00E07A56">
      <w:pPr>
        <w:pStyle w:val="Heading9"/>
        <w:ind w:right="9"/>
        <w:rPr>
          <w:rFonts w:ascii="Arial" w:hAnsi="Arial"/>
          <w:b/>
          <w:i w:val="0"/>
          <w:sz w:val="22"/>
          <w:lang w:val="en-US"/>
        </w:rPr>
      </w:pPr>
    </w:p>
    <w:p w14:paraId="44269C88" w14:textId="77777777" w:rsidR="00DD068D" w:rsidRDefault="00DD068D" w:rsidP="00E07A56">
      <w:pPr>
        <w:pStyle w:val="Heading9"/>
        <w:ind w:right="9"/>
        <w:rPr>
          <w:rFonts w:ascii="Tms Rmn" w:hAnsi="Tms Rmn"/>
          <w:b/>
          <w:i w:val="0"/>
          <w:sz w:val="22"/>
          <w:lang w:val="en-US"/>
        </w:rPr>
      </w:pPr>
      <w:r>
        <w:rPr>
          <w:rFonts w:ascii="Arial" w:hAnsi="Arial"/>
          <w:b/>
          <w:i w:val="0"/>
          <w:sz w:val="22"/>
          <w:lang w:val="en-US"/>
        </w:rPr>
        <w:t>TMP1 RISK MANAGEMENT</w:t>
      </w:r>
    </w:p>
    <w:p w14:paraId="184FE41A" w14:textId="77777777" w:rsidR="00DD068D" w:rsidRDefault="00DD068D">
      <w:pPr>
        <w:ind w:right="9"/>
        <w:jc w:val="both"/>
        <w:rPr>
          <w:rFonts w:ascii="Tms Rmn" w:hAnsi="Tms Rmn"/>
          <w:sz w:val="22"/>
        </w:rPr>
      </w:pPr>
    </w:p>
    <w:p w14:paraId="4BEE72FD" w14:textId="77777777" w:rsidR="00DD068D" w:rsidRDefault="00DD068D" w:rsidP="00020FCB">
      <w:pPr>
        <w:tabs>
          <w:tab w:val="left" w:pos="3402"/>
        </w:tabs>
        <w:ind w:right="9"/>
        <w:jc w:val="both"/>
        <w:rPr>
          <w:rFonts w:ascii="Arial" w:hAnsi="Arial"/>
          <w:sz w:val="22"/>
        </w:rPr>
      </w:pPr>
      <w:r>
        <w:rPr>
          <w:rFonts w:ascii="Arial" w:hAnsi="Arial"/>
          <w:sz w:val="22"/>
        </w:rPr>
        <w:t xml:space="preserve">The Head of Finance, Governance &amp; Assurance (s151 Officer) will design, implement and monitor all arrangements for the identification, management and control of treasury management risk, will report at least annually on the adequacy/suitability thereof, and will report, as a matter of urgency, the circumstances of any actual or likely difficulty in achieving the Council’s objectives in this respect, all in accordance with the procedures set out in TMP6 </w:t>
      </w:r>
      <w:r>
        <w:rPr>
          <w:rFonts w:ascii="Arial" w:hAnsi="Arial"/>
          <w:i/>
          <w:sz w:val="22"/>
        </w:rPr>
        <w:t>Reporting requirements and management information arrangements</w:t>
      </w:r>
      <w:r>
        <w:rPr>
          <w:rFonts w:ascii="Arial" w:hAnsi="Arial"/>
          <w:sz w:val="22"/>
        </w:rPr>
        <w:t>. In respect of each of the following risks, the arrangements which seek to ensure compliance with these objectives are set out in the schedule to this document.</w:t>
      </w:r>
    </w:p>
    <w:p w14:paraId="15BE40EF" w14:textId="77777777" w:rsidR="00DD068D" w:rsidRDefault="00DD068D">
      <w:pPr>
        <w:tabs>
          <w:tab w:val="left" w:pos="709"/>
        </w:tabs>
        <w:ind w:left="709" w:right="9" w:hanging="709"/>
        <w:jc w:val="both"/>
        <w:rPr>
          <w:rFonts w:ascii="Tms Rmn" w:hAnsi="Tms Rmn"/>
          <w:sz w:val="22"/>
        </w:rPr>
      </w:pPr>
    </w:p>
    <w:p w14:paraId="3ECDCF51" w14:textId="77777777" w:rsidR="00DD068D" w:rsidRDefault="00DD068D" w:rsidP="00671C13">
      <w:pPr>
        <w:ind w:right="9" w:firstLine="720"/>
        <w:jc w:val="both"/>
        <w:rPr>
          <w:rFonts w:ascii="Arial" w:hAnsi="Arial"/>
          <w:b/>
          <w:sz w:val="22"/>
        </w:rPr>
      </w:pPr>
      <w:r>
        <w:rPr>
          <w:rFonts w:ascii="Arial" w:hAnsi="Arial"/>
          <w:b/>
          <w:sz w:val="22"/>
        </w:rPr>
        <w:t>[1] Credit and Counterparty Risk Management</w:t>
      </w:r>
    </w:p>
    <w:p w14:paraId="78971CA1" w14:textId="77777777" w:rsidR="00DD068D" w:rsidRDefault="00DD068D" w:rsidP="00671C13">
      <w:pPr>
        <w:tabs>
          <w:tab w:val="left" w:pos="709"/>
          <w:tab w:val="left" w:pos="851"/>
          <w:tab w:val="left" w:pos="1134"/>
        </w:tabs>
        <w:ind w:left="709" w:right="9" w:hanging="709"/>
        <w:jc w:val="both"/>
        <w:rPr>
          <w:rFonts w:ascii="Arial" w:hAnsi="Arial"/>
          <w:sz w:val="22"/>
        </w:rPr>
      </w:pPr>
    </w:p>
    <w:p w14:paraId="58325442" w14:textId="77777777" w:rsidR="00DD068D" w:rsidRDefault="00DD068D" w:rsidP="00671C13">
      <w:pPr>
        <w:tabs>
          <w:tab w:val="left" w:pos="709"/>
        </w:tabs>
        <w:ind w:left="698" w:right="9" w:hanging="698"/>
        <w:jc w:val="both"/>
        <w:rPr>
          <w:rFonts w:ascii="Arial" w:hAnsi="Arial"/>
          <w:sz w:val="22"/>
        </w:rPr>
      </w:pPr>
      <w:r>
        <w:rPr>
          <w:rFonts w:ascii="Tms Rmn" w:hAnsi="Tms Rmn"/>
          <w:sz w:val="22"/>
        </w:rPr>
        <w:tab/>
      </w:r>
      <w:r>
        <w:rPr>
          <w:rFonts w:ascii="Arial" w:hAnsi="Arial"/>
          <w:sz w:val="22"/>
        </w:rPr>
        <w:t xml:space="preserve">SC regards a prime objective of its treasury management activities to be the security of the principal sums it invests. Accordingly, it will ensure that its counterparty lists and limits reflect a prudent attitude towards organisations with whom funds may be deposited, and will limit its investment activities to the instruments, methods and techniques referred to in </w:t>
      </w:r>
      <w:r>
        <w:rPr>
          <w:rFonts w:ascii="Arial" w:hAnsi="Arial"/>
          <w:i/>
          <w:sz w:val="22"/>
        </w:rPr>
        <w:t>TMP4 Approved Instruments, methods and techniques</w:t>
      </w:r>
      <w:r>
        <w:rPr>
          <w:rFonts w:ascii="Arial" w:hAnsi="Arial"/>
          <w:sz w:val="22"/>
        </w:rPr>
        <w:t xml:space="preserve"> and listed in the schedule to this document. It also recognises the need to have, and will therefore maintain, a formal counterparty policy in respect of those organisations from which it may borrow, or with whom it may enter into other financing arrangements.   </w:t>
      </w:r>
    </w:p>
    <w:p w14:paraId="1DD746EA" w14:textId="77777777" w:rsidR="00DD068D" w:rsidRDefault="00DD068D" w:rsidP="00671C13">
      <w:pPr>
        <w:tabs>
          <w:tab w:val="left" w:pos="709"/>
        </w:tabs>
        <w:ind w:left="709" w:right="9" w:hanging="709"/>
        <w:jc w:val="both"/>
        <w:rPr>
          <w:rFonts w:ascii="Arial" w:hAnsi="Arial"/>
          <w:b/>
          <w:sz w:val="22"/>
        </w:rPr>
      </w:pPr>
      <w:r>
        <w:rPr>
          <w:rFonts w:ascii="Arial" w:hAnsi="Arial"/>
          <w:b/>
          <w:sz w:val="22"/>
        </w:rPr>
        <w:t xml:space="preserve"> </w:t>
      </w:r>
    </w:p>
    <w:p w14:paraId="66C837CD" w14:textId="77777777" w:rsidR="00DD068D" w:rsidRDefault="00DD068D" w:rsidP="00671C13">
      <w:pPr>
        <w:tabs>
          <w:tab w:val="left" w:pos="709"/>
        </w:tabs>
        <w:ind w:left="709" w:right="9" w:hanging="709"/>
        <w:jc w:val="both"/>
        <w:rPr>
          <w:rFonts w:ascii="Arial" w:hAnsi="Arial"/>
          <w:b/>
          <w:sz w:val="22"/>
        </w:rPr>
      </w:pPr>
      <w:r>
        <w:rPr>
          <w:rFonts w:ascii="Arial" w:hAnsi="Arial"/>
          <w:b/>
          <w:sz w:val="22"/>
        </w:rPr>
        <w:tab/>
        <w:t>[2] Liquidity risk management</w:t>
      </w:r>
    </w:p>
    <w:p w14:paraId="2A11A78A" w14:textId="77777777" w:rsidR="00DD068D" w:rsidRDefault="00DD068D">
      <w:pPr>
        <w:tabs>
          <w:tab w:val="left" w:pos="709"/>
        </w:tabs>
        <w:ind w:left="709" w:right="9" w:hanging="709"/>
        <w:jc w:val="both"/>
        <w:rPr>
          <w:rFonts w:ascii="Arial" w:hAnsi="Arial"/>
          <w:sz w:val="22"/>
        </w:rPr>
      </w:pPr>
      <w:r>
        <w:rPr>
          <w:rFonts w:ascii="Arial" w:hAnsi="Arial"/>
          <w:sz w:val="22"/>
        </w:rPr>
        <w:tab/>
      </w:r>
    </w:p>
    <w:p w14:paraId="02551A79" w14:textId="77777777" w:rsidR="00DD068D" w:rsidRDefault="00DD068D">
      <w:pPr>
        <w:tabs>
          <w:tab w:val="left" w:pos="709"/>
        </w:tabs>
        <w:ind w:left="709" w:right="9" w:hanging="709"/>
        <w:jc w:val="both"/>
        <w:rPr>
          <w:rFonts w:ascii="Arial" w:hAnsi="Arial"/>
          <w:sz w:val="22"/>
        </w:rPr>
      </w:pPr>
      <w:r>
        <w:rPr>
          <w:rFonts w:ascii="Arial" w:hAnsi="Arial"/>
          <w:sz w:val="22"/>
        </w:rPr>
        <w:tab/>
        <w:t>Shropshire Council (SC) will ensure it has adequate though not excessive cash resources, borrowing arrangements, overdraft or standby facilities to enable it at all times to have the level of funds available to which are necessary for the achievement of its business/service objectives.</w:t>
      </w:r>
    </w:p>
    <w:p w14:paraId="15E5566C" w14:textId="77777777" w:rsidR="00DD068D" w:rsidRDefault="00DD068D">
      <w:pPr>
        <w:tabs>
          <w:tab w:val="left" w:pos="709"/>
        </w:tabs>
        <w:ind w:left="709" w:right="9" w:hanging="709"/>
        <w:jc w:val="both"/>
        <w:rPr>
          <w:rFonts w:ascii="Arial" w:hAnsi="Arial"/>
          <w:sz w:val="22"/>
        </w:rPr>
      </w:pPr>
    </w:p>
    <w:p w14:paraId="1A312523" w14:textId="77777777" w:rsidR="00DD068D" w:rsidRPr="003A483A" w:rsidRDefault="00DD068D">
      <w:pPr>
        <w:tabs>
          <w:tab w:val="left" w:pos="709"/>
        </w:tabs>
        <w:ind w:left="709" w:right="9" w:hanging="709"/>
        <w:jc w:val="both"/>
        <w:rPr>
          <w:rFonts w:ascii="Arial" w:hAnsi="Arial" w:cs="Arial"/>
          <w:sz w:val="22"/>
        </w:rPr>
      </w:pPr>
      <w:r>
        <w:rPr>
          <w:rFonts w:ascii="Tms Rmn" w:hAnsi="Tms Rmn"/>
          <w:sz w:val="22"/>
        </w:rPr>
        <w:tab/>
      </w:r>
      <w:r w:rsidRPr="003A483A">
        <w:rPr>
          <w:rFonts w:ascii="Arial" w:hAnsi="Arial" w:cs="Arial"/>
          <w:sz w:val="22"/>
        </w:rPr>
        <w:t xml:space="preserve">SC </w:t>
      </w:r>
      <w:r>
        <w:rPr>
          <w:rFonts w:ascii="Arial" w:hAnsi="Arial" w:cs="Arial"/>
          <w:sz w:val="22"/>
        </w:rPr>
        <w:t xml:space="preserve">will only borrow in advance of need where there is a clear business case for doing so and will only do so for the current capital programme or to finance future debt maturities. </w:t>
      </w:r>
      <w:r w:rsidRPr="003A483A">
        <w:rPr>
          <w:rFonts w:ascii="Arial" w:hAnsi="Arial" w:cs="Arial"/>
          <w:sz w:val="22"/>
        </w:rPr>
        <w:tab/>
      </w:r>
    </w:p>
    <w:p w14:paraId="6A6A6729" w14:textId="77777777" w:rsidR="00DD068D" w:rsidRDefault="00DD068D">
      <w:pPr>
        <w:tabs>
          <w:tab w:val="left" w:pos="709"/>
        </w:tabs>
        <w:ind w:left="709" w:right="9" w:hanging="709"/>
        <w:jc w:val="both"/>
        <w:rPr>
          <w:rFonts w:ascii="Tms Rmn" w:hAnsi="Tms Rmn"/>
          <w:sz w:val="22"/>
        </w:rPr>
      </w:pPr>
      <w:r>
        <w:rPr>
          <w:rFonts w:ascii="Tms Rmn" w:hAnsi="Tms Rmn"/>
          <w:sz w:val="22"/>
        </w:rPr>
        <w:tab/>
      </w:r>
    </w:p>
    <w:p w14:paraId="0F04799F" w14:textId="77777777" w:rsidR="00DD068D" w:rsidRDefault="00DD068D">
      <w:pPr>
        <w:tabs>
          <w:tab w:val="left" w:pos="709"/>
        </w:tabs>
        <w:ind w:left="709" w:right="9" w:hanging="709"/>
        <w:jc w:val="both"/>
        <w:rPr>
          <w:rFonts w:ascii="Arial" w:hAnsi="Arial"/>
          <w:b/>
          <w:sz w:val="22"/>
        </w:rPr>
      </w:pPr>
      <w:r>
        <w:rPr>
          <w:rFonts w:ascii="Tms Rmn" w:hAnsi="Tms Rmn"/>
          <w:sz w:val="22"/>
        </w:rPr>
        <w:tab/>
      </w:r>
      <w:r>
        <w:rPr>
          <w:rFonts w:ascii="Arial" w:hAnsi="Arial"/>
          <w:b/>
          <w:sz w:val="22"/>
        </w:rPr>
        <w:t>[3] Interest rate risk management</w:t>
      </w:r>
    </w:p>
    <w:p w14:paraId="39BA878D" w14:textId="77777777" w:rsidR="00DD068D" w:rsidRDefault="00DD068D">
      <w:pPr>
        <w:tabs>
          <w:tab w:val="left" w:pos="709"/>
        </w:tabs>
        <w:ind w:right="9"/>
        <w:jc w:val="both"/>
        <w:rPr>
          <w:rFonts w:ascii="Arial" w:hAnsi="Arial"/>
          <w:sz w:val="22"/>
        </w:rPr>
      </w:pPr>
    </w:p>
    <w:p w14:paraId="43EF0E4E" w14:textId="77777777" w:rsidR="00DD068D" w:rsidRDefault="00DD068D" w:rsidP="00FE0C31">
      <w:pPr>
        <w:tabs>
          <w:tab w:val="left" w:pos="709"/>
        </w:tabs>
        <w:ind w:left="709" w:right="9" w:hanging="709"/>
        <w:jc w:val="both"/>
        <w:rPr>
          <w:rFonts w:ascii="Arial" w:hAnsi="Arial"/>
          <w:i/>
          <w:sz w:val="22"/>
        </w:rPr>
      </w:pPr>
      <w:r>
        <w:rPr>
          <w:rFonts w:ascii="Arial" w:hAnsi="Arial"/>
          <w:sz w:val="22"/>
        </w:rPr>
        <w:tab/>
        <w:t xml:space="preserve">SC will manage its exposure to fluctuations in interest rates with a view to </w:t>
      </w:r>
      <w:r>
        <w:rPr>
          <w:rFonts w:ascii="Arial" w:hAnsi="Arial"/>
          <w:sz w:val="22"/>
        </w:rPr>
        <w:tab/>
        <w:t xml:space="preserve">containing its net interest costs, or securing its interest revenues, in accordance with the amounts provided in its budgetary arrangements as amended in accordance with TMP6 </w:t>
      </w:r>
      <w:r>
        <w:rPr>
          <w:rFonts w:ascii="Arial" w:hAnsi="Arial"/>
          <w:i/>
          <w:sz w:val="22"/>
        </w:rPr>
        <w:t>Reporting requirement and management information arrangements</w:t>
      </w:r>
    </w:p>
    <w:p w14:paraId="45049742" w14:textId="77777777" w:rsidR="00DD068D" w:rsidRDefault="00DD068D">
      <w:pPr>
        <w:tabs>
          <w:tab w:val="left" w:pos="709"/>
        </w:tabs>
        <w:ind w:right="9"/>
        <w:jc w:val="both"/>
        <w:rPr>
          <w:rFonts w:ascii="Tms Rmn" w:hAnsi="Tms Rmn"/>
          <w:b/>
          <w:sz w:val="22"/>
        </w:rPr>
      </w:pPr>
      <w:r>
        <w:rPr>
          <w:rFonts w:ascii="Tms Rmn" w:hAnsi="Tms Rmn"/>
          <w:b/>
          <w:sz w:val="22"/>
        </w:rPr>
        <w:t xml:space="preserve"> </w:t>
      </w:r>
    </w:p>
    <w:p w14:paraId="5C2B9F68" w14:textId="77777777" w:rsidR="00DD068D" w:rsidRPr="00027C0E" w:rsidRDefault="00DD068D" w:rsidP="00027C0E">
      <w:pPr>
        <w:tabs>
          <w:tab w:val="left" w:pos="709"/>
        </w:tabs>
        <w:ind w:left="709" w:right="9"/>
        <w:jc w:val="both"/>
        <w:rPr>
          <w:rFonts w:ascii="Arial" w:hAnsi="Arial" w:cs="Arial"/>
          <w:sz w:val="22"/>
        </w:rPr>
      </w:pPr>
      <w:r>
        <w:rPr>
          <w:rFonts w:ascii="Tms Rmn" w:hAnsi="Tms Rmn"/>
          <w:b/>
          <w:sz w:val="22"/>
        </w:rPr>
        <w:tab/>
      </w:r>
      <w:r w:rsidRPr="00027C0E">
        <w:rPr>
          <w:rFonts w:ascii="Arial" w:hAnsi="Arial" w:cs="Arial"/>
          <w:sz w:val="22"/>
        </w:rPr>
        <w:t>SC will a</w:t>
      </w:r>
      <w:r>
        <w:rPr>
          <w:rFonts w:ascii="Arial" w:hAnsi="Arial" w:cs="Arial"/>
          <w:sz w:val="22"/>
        </w:rPr>
        <w:t xml:space="preserve">chieve this by the prudent use of its approved financing and investment instruments, methods and techniques, primarily to create stability and certainty of costs and revenues, but at the same time retaining a sufficient degree of flexibility to take advantage of unexpected, potentially advantageous changes in the level or structure of interest rates.  This will be subject to the consideration and, if required, approval of any policy or budgetary implications.   </w:t>
      </w:r>
      <w:r w:rsidRPr="00027C0E">
        <w:rPr>
          <w:rFonts w:ascii="Arial" w:hAnsi="Arial" w:cs="Arial"/>
          <w:sz w:val="22"/>
        </w:rPr>
        <w:tab/>
      </w:r>
    </w:p>
    <w:p w14:paraId="108F5038" w14:textId="77777777" w:rsidR="00DD068D" w:rsidRDefault="00DD068D">
      <w:pPr>
        <w:tabs>
          <w:tab w:val="left" w:pos="709"/>
        </w:tabs>
        <w:ind w:right="9"/>
        <w:jc w:val="both"/>
        <w:rPr>
          <w:rFonts w:ascii="Arial" w:hAnsi="Arial" w:cs="Arial"/>
          <w:b/>
          <w:sz w:val="22"/>
        </w:rPr>
      </w:pPr>
    </w:p>
    <w:p w14:paraId="65053C59" w14:textId="77777777" w:rsidR="00DD068D" w:rsidRDefault="00DD068D">
      <w:pPr>
        <w:tabs>
          <w:tab w:val="left" w:pos="709"/>
        </w:tabs>
        <w:ind w:right="9"/>
        <w:jc w:val="both"/>
        <w:rPr>
          <w:rFonts w:ascii="Arial" w:hAnsi="Arial"/>
          <w:b/>
          <w:sz w:val="22"/>
        </w:rPr>
      </w:pPr>
      <w:r>
        <w:rPr>
          <w:rFonts w:ascii="Tms Rmn" w:hAnsi="Tms Rmn"/>
          <w:b/>
          <w:sz w:val="22"/>
        </w:rPr>
        <w:tab/>
      </w:r>
      <w:r>
        <w:rPr>
          <w:rFonts w:ascii="Arial" w:hAnsi="Arial"/>
          <w:b/>
          <w:sz w:val="22"/>
        </w:rPr>
        <w:t>[4] Exchange rate risk management</w:t>
      </w:r>
    </w:p>
    <w:p w14:paraId="14E91187" w14:textId="77777777" w:rsidR="00DD068D" w:rsidRDefault="00DD068D">
      <w:pPr>
        <w:tabs>
          <w:tab w:val="left" w:pos="709"/>
        </w:tabs>
        <w:ind w:right="9"/>
        <w:jc w:val="both"/>
        <w:rPr>
          <w:rFonts w:ascii="Arial" w:hAnsi="Arial"/>
          <w:sz w:val="22"/>
        </w:rPr>
      </w:pPr>
    </w:p>
    <w:p w14:paraId="4C5230CC" w14:textId="77777777" w:rsidR="00DD068D" w:rsidRDefault="00DD068D">
      <w:pPr>
        <w:tabs>
          <w:tab w:val="left" w:pos="709"/>
        </w:tabs>
        <w:ind w:right="9"/>
        <w:jc w:val="both"/>
        <w:rPr>
          <w:rFonts w:ascii="Tms Rmn" w:hAnsi="Tms Rmn"/>
          <w:sz w:val="22"/>
        </w:rPr>
      </w:pPr>
      <w:r>
        <w:rPr>
          <w:rFonts w:ascii="Tms Rmn" w:hAnsi="Tms Rmn"/>
          <w:sz w:val="22"/>
        </w:rPr>
        <w:tab/>
      </w:r>
      <w:r>
        <w:rPr>
          <w:rFonts w:ascii="Arial" w:hAnsi="Arial"/>
          <w:sz w:val="22"/>
        </w:rPr>
        <w:t xml:space="preserve">SC will manage its exposure to fluctuations in exchange rates so as to minimise any </w:t>
      </w:r>
      <w:r>
        <w:rPr>
          <w:rFonts w:ascii="Arial" w:hAnsi="Arial"/>
          <w:sz w:val="22"/>
        </w:rPr>
        <w:tab/>
        <w:t>detrimental impact on its budgeted income/expenditure levels</w:t>
      </w:r>
      <w:r>
        <w:rPr>
          <w:rFonts w:ascii="Tms Rmn" w:hAnsi="Tms Rmn"/>
          <w:sz w:val="22"/>
        </w:rPr>
        <w:t xml:space="preserve">. </w:t>
      </w:r>
    </w:p>
    <w:p w14:paraId="0C8FA6C9" w14:textId="77777777" w:rsidR="00DD068D" w:rsidRDefault="00DD068D">
      <w:pPr>
        <w:tabs>
          <w:tab w:val="left" w:pos="709"/>
        </w:tabs>
        <w:ind w:right="9"/>
        <w:jc w:val="both"/>
        <w:rPr>
          <w:rFonts w:ascii="Tms Rmn" w:hAnsi="Tms Rmn"/>
          <w:b/>
          <w:sz w:val="22"/>
        </w:rPr>
      </w:pPr>
    </w:p>
    <w:p w14:paraId="7DFE3612" w14:textId="77777777" w:rsidR="00DD068D" w:rsidRDefault="00DD068D">
      <w:pPr>
        <w:tabs>
          <w:tab w:val="left" w:pos="709"/>
        </w:tabs>
        <w:ind w:right="9"/>
        <w:jc w:val="both"/>
        <w:rPr>
          <w:rFonts w:ascii="Tms Rmn" w:hAnsi="Tms Rmn"/>
          <w:b/>
          <w:sz w:val="22"/>
        </w:rPr>
      </w:pPr>
    </w:p>
    <w:p w14:paraId="1C6D5491" w14:textId="77777777" w:rsidR="00DD068D" w:rsidRDefault="00DD068D">
      <w:pPr>
        <w:tabs>
          <w:tab w:val="left" w:pos="709"/>
        </w:tabs>
        <w:ind w:right="9"/>
        <w:jc w:val="both"/>
        <w:rPr>
          <w:rFonts w:ascii="Arial" w:hAnsi="Arial"/>
          <w:sz w:val="22"/>
        </w:rPr>
      </w:pPr>
    </w:p>
    <w:p w14:paraId="2951F440" w14:textId="77777777" w:rsidR="00DD068D" w:rsidRDefault="00DD068D">
      <w:pPr>
        <w:ind w:right="9" w:firstLine="720"/>
        <w:jc w:val="both"/>
        <w:rPr>
          <w:rFonts w:ascii="Arial" w:hAnsi="Arial"/>
          <w:b/>
          <w:sz w:val="22"/>
        </w:rPr>
      </w:pPr>
      <w:r>
        <w:rPr>
          <w:rFonts w:ascii="Arial" w:hAnsi="Arial"/>
          <w:b/>
          <w:sz w:val="22"/>
        </w:rPr>
        <w:lastRenderedPageBreak/>
        <w:t xml:space="preserve">[5] Refinancing risk management </w:t>
      </w:r>
    </w:p>
    <w:p w14:paraId="48141038" w14:textId="77777777" w:rsidR="00DD068D" w:rsidRDefault="00DD068D">
      <w:pPr>
        <w:tabs>
          <w:tab w:val="left" w:pos="709"/>
          <w:tab w:val="left" w:pos="851"/>
          <w:tab w:val="left" w:pos="1134"/>
        </w:tabs>
        <w:ind w:right="9"/>
        <w:jc w:val="both"/>
        <w:rPr>
          <w:rFonts w:ascii="Arial" w:hAnsi="Arial"/>
          <w:sz w:val="22"/>
        </w:rPr>
      </w:pPr>
    </w:p>
    <w:p w14:paraId="44BF0D6F" w14:textId="57A57ECF" w:rsidR="00DD068D" w:rsidRDefault="00DD068D" w:rsidP="00DE2909">
      <w:pPr>
        <w:tabs>
          <w:tab w:val="left" w:pos="709"/>
          <w:tab w:val="left" w:pos="851"/>
          <w:tab w:val="left" w:pos="1134"/>
        </w:tabs>
        <w:ind w:left="709" w:right="9" w:firstLine="4"/>
        <w:jc w:val="both"/>
        <w:rPr>
          <w:rFonts w:ascii="Arial" w:hAnsi="Arial"/>
          <w:sz w:val="22"/>
        </w:rPr>
      </w:pPr>
      <w:r>
        <w:rPr>
          <w:rFonts w:ascii="Arial" w:hAnsi="Arial"/>
          <w:sz w:val="22"/>
        </w:rPr>
        <w:t>SC will ensure that its borrowing, private financing an</w:t>
      </w:r>
      <w:r w:rsidR="00DE2909">
        <w:rPr>
          <w:rFonts w:ascii="Arial" w:hAnsi="Arial"/>
          <w:sz w:val="22"/>
        </w:rPr>
        <w:t xml:space="preserve">d partnership arrangements are </w:t>
      </w:r>
      <w:r>
        <w:rPr>
          <w:rFonts w:ascii="Arial" w:hAnsi="Arial"/>
          <w:sz w:val="22"/>
        </w:rPr>
        <w:t xml:space="preserve">negotiated, structured and documented, and the maturity profile of the monies so raised are managed, with a view to obtaining offer terms for renewal or refinancing, if required, which are competitive and as favorable to the organisation as can reasonably be achieved in the light of market conditions prevailing at the time. </w:t>
      </w:r>
    </w:p>
    <w:p w14:paraId="70733409" w14:textId="77777777" w:rsidR="00DD068D" w:rsidRDefault="00DD068D">
      <w:pPr>
        <w:tabs>
          <w:tab w:val="left" w:pos="709"/>
          <w:tab w:val="left" w:pos="851"/>
          <w:tab w:val="left" w:pos="1134"/>
        </w:tabs>
        <w:ind w:right="9" w:firstLine="4"/>
        <w:jc w:val="both"/>
        <w:rPr>
          <w:rFonts w:ascii="Tms Rmn" w:hAnsi="Tms Rmn"/>
          <w:sz w:val="22"/>
        </w:rPr>
      </w:pPr>
    </w:p>
    <w:p w14:paraId="0EA03FDF" w14:textId="77777777" w:rsidR="00DD068D" w:rsidRDefault="00DD068D" w:rsidP="00DE2909">
      <w:pPr>
        <w:tabs>
          <w:tab w:val="left" w:pos="0"/>
          <w:tab w:val="left" w:pos="851"/>
          <w:tab w:val="left" w:pos="1134"/>
        </w:tabs>
        <w:ind w:right="9"/>
        <w:jc w:val="both"/>
        <w:rPr>
          <w:rFonts w:ascii="Arial" w:hAnsi="Arial"/>
          <w:sz w:val="22"/>
        </w:rPr>
      </w:pPr>
      <w:r>
        <w:rPr>
          <w:rFonts w:ascii="Arial" w:hAnsi="Arial"/>
          <w:sz w:val="22"/>
        </w:rPr>
        <w:t>SC will actively manage its relationships with its counterparties in these transactions in such a manner as to secure this objective, and will avoid over-reliance on any one source of funding if this might jeopardise achievement of the above.</w:t>
      </w:r>
    </w:p>
    <w:p w14:paraId="34BF1891" w14:textId="77777777" w:rsidR="00DD068D" w:rsidRDefault="00DD068D">
      <w:pPr>
        <w:tabs>
          <w:tab w:val="left" w:pos="709"/>
          <w:tab w:val="left" w:pos="851"/>
          <w:tab w:val="left" w:pos="1134"/>
        </w:tabs>
        <w:ind w:right="9" w:firstLine="4"/>
        <w:jc w:val="both"/>
        <w:rPr>
          <w:rFonts w:ascii="Tms Rmn" w:hAnsi="Tms Rmn"/>
          <w:sz w:val="22"/>
        </w:rPr>
      </w:pPr>
    </w:p>
    <w:p w14:paraId="221E4240" w14:textId="77777777" w:rsidR="00DD068D" w:rsidRDefault="00DD068D">
      <w:pPr>
        <w:tabs>
          <w:tab w:val="left" w:pos="709"/>
          <w:tab w:val="left" w:pos="851"/>
          <w:tab w:val="left" w:pos="1134"/>
        </w:tabs>
        <w:ind w:right="9" w:firstLine="4"/>
        <w:jc w:val="both"/>
        <w:rPr>
          <w:rFonts w:ascii="Tms Rmn" w:hAnsi="Tms Rmn"/>
          <w:sz w:val="22"/>
        </w:rPr>
      </w:pPr>
    </w:p>
    <w:p w14:paraId="7DE06757" w14:textId="77777777" w:rsidR="00DD068D" w:rsidRDefault="00DD068D">
      <w:pPr>
        <w:ind w:right="9" w:firstLine="720"/>
        <w:jc w:val="both"/>
        <w:rPr>
          <w:rFonts w:ascii="Arial" w:hAnsi="Arial"/>
          <w:b/>
          <w:sz w:val="22"/>
        </w:rPr>
      </w:pPr>
      <w:r>
        <w:rPr>
          <w:rFonts w:ascii="Arial" w:hAnsi="Arial"/>
          <w:b/>
          <w:sz w:val="22"/>
        </w:rPr>
        <w:t>[6] Legal and regulatory risk management</w:t>
      </w:r>
    </w:p>
    <w:p w14:paraId="24E9697F" w14:textId="77777777" w:rsidR="00DD068D" w:rsidRDefault="00DD068D">
      <w:pPr>
        <w:tabs>
          <w:tab w:val="left" w:pos="709"/>
          <w:tab w:val="left" w:pos="851"/>
          <w:tab w:val="left" w:pos="1134"/>
        </w:tabs>
        <w:ind w:left="709" w:right="9" w:hanging="709"/>
        <w:jc w:val="both"/>
        <w:rPr>
          <w:rFonts w:ascii="Arial" w:hAnsi="Arial"/>
          <w:sz w:val="22"/>
        </w:rPr>
      </w:pPr>
    </w:p>
    <w:p w14:paraId="2980EE67" w14:textId="7032BA21" w:rsidR="00DD068D" w:rsidRPr="00DE2909" w:rsidRDefault="00DD068D" w:rsidP="00DE2909">
      <w:pPr>
        <w:pStyle w:val="BodyTextIndent2"/>
        <w:tabs>
          <w:tab w:val="left" w:pos="851"/>
          <w:tab w:val="left" w:pos="1134"/>
        </w:tabs>
        <w:ind w:left="709" w:right="9"/>
        <w:rPr>
          <w:rFonts w:ascii="Arial" w:hAnsi="Arial"/>
          <w:sz w:val="22"/>
          <w:szCs w:val="22"/>
        </w:rPr>
      </w:pPr>
      <w:r w:rsidRPr="00DE2909">
        <w:rPr>
          <w:rFonts w:ascii="Arial" w:hAnsi="Arial"/>
          <w:sz w:val="22"/>
          <w:szCs w:val="22"/>
        </w:rPr>
        <w:t xml:space="preserve">SC will ensure that all of its treasury management activities comply with its statutory powers and regulatory requirements.  It will demonstrate such compliance, if required to do so, to all parties with whom it deals in such activities.  In framing its credit  and counterparty policy under </w:t>
      </w:r>
      <w:r w:rsidRPr="00DE2909">
        <w:rPr>
          <w:rFonts w:ascii="Arial" w:hAnsi="Arial"/>
          <w:i/>
          <w:sz w:val="22"/>
          <w:szCs w:val="22"/>
        </w:rPr>
        <w:t>TMP1.1 Credit and counterparty risk management</w:t>
      </w:r>
      <w:r w:rsidRPr="00DE2909">
        <w:rPr>
          <w:rFonts w:ascii="Arial" w:hAnsi="Arial"/>
          <w:sz w:val="22"/>
          <w:szCs w:val="22"/>
        </w:rPr>
        <w:t xml:space="preserve">, it will ensure that there is evidence of counterparties’ powers, authority and compliance in respect of the transactions they may effect with the organisation, particularly with regard </w:t>
      </w:r>
      <w:r w:rsidRPr="00DE2909">
        <w:rPr>
          <w:rFonts w:ascii="Arial" w:hAnsi="Arial"/>
          <w:sz w:val="22"/>
          <w:szCs w:val="22"/>
        </w:rPr>
        <w:tab/>
        <w:t>to duty of care and fees charged.</w:t>
      </w:r>
    </w:p>
    <w:p w14:paraId="5246A0E9" w14:textId="77777777" w:rsidR="00DD068D" w:rsidRDefault="00DD068D">
      <w:pPr>
        <w:pStyle w:val="BodyTextIndent2"/>
        <w:tabs>
          <w:tab w:val="left" w:pos="851"/>
          <w:tab w:val="left" w:pos="1134"/>
        </w:tabs>
        <w:ind w:left="0" w:right="9"/>
      </w:pPr>
    </w:p>
    <w:p w14:paraId="7A97ED06" w14:textId="77777777" w:rsidR="00DD068D" w:rsidRPr="00DE2909" w:rsidRDefault="00DD068D">
      <w:pPr>
        <w:pStyle w:val="BodyTextIndent2"/>
        <w:tabs>
          <w:tab w:val="left" w:pos="851"/>
          <w:tab w:val="left" w:pos="1134"/>
        </w:tabs>
        <w:ind w:left="0" w:right="9"/>
        <w:rPr>
          <w:rFonts w:ascii="Arial" w:hAnsi="Arial"/>
          <w:sz w:val="22"/>
          <w:szCs w:val="22"/>
        </w:rPr>
      </w:pPr>
      <w:r w:rsidRPr="00DE2909">
        <w:rPr>
          <w:rFonts w:ascii="Arial" w:hAnsi="Arial"/>
          <w:sz w:val="22"/>
          <w:szCs w:val="22"/>
        </w:rPr>
        <w:t xml:space="preserve">SC recognises that future legislative or regulatory changes may impact on its treasury management activities and, so far as it is reasonably able to do so, will seek to minimise the risk of these impacting adversely on the organisation.     </w:t>
      </w:r>
    </w:p>
    <w:p w14:paraId="316CEBFA" w14:textId="77777777" w:rsidR="00DD068D" w:rsidRDefault="00DD068D">
      <w:pPr>
        <w:tabs>
          <w:tab w:val="left" w:pos="709"/>
          <w:tab w:val="left" w:pos="851"/>
          <w:tab w:val="left" w:pos="1134"/>
        </w:tabs>
        <w:ind w:right="9"/>
        <w:jc w:val="both"/>
        <w:rPr>
          <w:rFonts w:ascii="Arial" w:hAnsi="Arial"/>
          <w:sz w:val="22"/>
        </w:rPr>
      </w:pPr>
    </w:p>
    <w:p w14:paraId="3AA5A5C5" w14:textId="77777777" w:rsidR="00DD068D" w:rsidRDefault="00DD068D">
      <w:pPr>
        <w:tabs>
          <w:tab w:val="left" w:pos="709"/>
          <w:tab w:val="left" w:pos="851"/>
          <w:tab w:val="left" w:pos="1134"/>
        </w:tabs>
        <w:ind w:right="9"/>
        <w:jc w:val="both"/>
        <w:rPr>
          <w:rFonts w:ascii="Tms Rmn" w:hAnsi="Tms Rmn"/>
          <w:sz w:val="22"/>
        </w:rPr>
      </w:pPr>
    </w:p>
    <w:p w14:paraId="7FD54922" w14:textId="77777777" w:rsidR="00DD068D" w:rsidRDefault="00DD068D">
      <w:pPr>
        <w:ind w:right="9" w:firstLine="720"/>
        <w:jc w:val="both"/>
        <w:rPr>
          <w:rFonts w:ascii="Arial" w:hAnsi="Arial"/>
          <w:b/>
          <w:sz w:val="22"/>
        </w:rPr>
      </w:pPr>
      <w:r>
        <w:rPr>
          <w:rFonts w:ascii="Arial" w:hAnsi="Arial"/>
          <w:b/>
          <w:sz w:val="22"/>
        </w:rPr>
        <w:t>[7] Fraud, error and corruption, and contingency management</w:t>
      </w:r>
    </w:p>
    <w:p w14:paraId="3463A400" w14:textId="77777777" w:rsidR="00DD068D" w:rsidRDefault="00DD068D">
      <w:pPr>
        <w:tabs>
          <w:tab w:val="left" w:pos="709"/>
          <w:tab w:val="left" w:pos="851"/>
          <w:tab w:val="left" w:pos="1134"/>
        </w:tabs>
        <w:ind w:left="709" w:right="9" w:hanging="709"/>
        <w:jc w:val="both"/>
        <w:rPr>
          <w:rFonts w:ascii="Arial" w:hAnsi="Arial"/>
          <w:sz w:val="22"/>
        </w:rPr>
      </w:pPr>
    </w:p>
    <w:p w14:paraId="6D975735" w14:textId="118761FD" w:rsidR="00DD068D" w:rsidRDefault="00DD068D" w:rsidP="0041339A">
      <w:pPr>
        <w:tabs>
          <w:tab w:val="left" w:pos="709"/>
        </w:tabs>
        <w:ind w:left="709" w:right="11" w:hanging="709"/>
        <w:contextualSpacing/>
        <w:rPr>
          <w:rFonts w:ascii="Arial" w:hAnsi="Arial"/>
          <w:sz w:val="22"/>
        </w:rPr>
      </w:pPr>
      <w:r>
        <w:rPr>
          <w:rFonts w:ascii="Arial" w:hAnsi="Arial"/>
          <w:sz w:val="22"/>
        </w:rPr>
        <w:tab/>
        <w:t xml:space="preserve">SC will ensure that it has identified the circumstances which may expose it to the </w:t>
      </w:r>
      <w:r>
        <w:rPr>
          <w:rFonts w:ascii="Arial" w:hAnsi="Arial"/>
          <w:sz w:val="22"/>
        </w:rPr>
        <w:tab/>
        <w:t>risk of loss through fraud, error, corruption or other eventualities in its treasury management dealings.  Accordingly, it will employ suitable systems and procedures, and will maintain effective contingency management arrangements, to these ends.</w:t>
      </w:r>
    </w:p>
    <w:p w14:paraId="61F989D5" w14:textId="77777777" w:rsidR="00DD068D" w:rsidRDefault="00DD068D">
      <w:pPr>
        <w:tabs>
          <w:tab w:val="left" w:pos="709"/>
          <w:tab w:val="left" w:pos="851"/>
          <w:tab w:val="left" w:pos="1134"/>
        </w:tabs>
        <w:ind w:right="9"/>
        <w:jc w:val="both"/>
        <w:rPr>
          <w:rFonts w:ascii="Arial" w:hAnsi="Arial"/>
          <w:sz w:val="22"/>
        </w:rPr>
      </w:pPr>
    </w:p>
    <w:p w14:paraId="3D299AB4" w14:textId="77777777" w:rsidR="00DD068D" w:rsidRDefault="00DD068D">
      <w:pPr>
        <w:tabs>
          <w:tab w:val="left" w:pos="709"/>
          <w:tab w:val="left" w:pos="851"/>
          <w:tab w:val="left" w:pos="1134"/>
        </w:tabs>
        <w:ind w:right="9"/>
        <w:jc w:val="both"/>
        <w:rPr>
          <w:rFonts w:ascii="Tms Rmn" w:hAnsi="Tms Rmn"/>
          <w:sz w:val="22"/>
        </w:rPr>
      </w:pPr>
    </w:p>
    <w:p w14:paraId="0020BB91" w14:textId="77777777" w:rsidR="00DD068D" w:rsidRDefault="00DD068D">
      <w:pPr>
        <w:ind w:right="9" w:firstLine="11"/>
        <w:jc w:val="both"/>
        <w:rPr>
          <w:rFonts w:ascii="Arial" w:hAnsi="Arial"/>
          <w:b/>
          <w:sz w:val="22"/>
        </w:rPr>
      </w:pPr>
      <w:r>
        <w:rPr>
          <w:rFonts w:ascii="Tms Rmn" w:hAnsi="Tms Rmn"/>
          <w:b/>
          <w:sz w:val="22"/>
        </w:rPr>
        <w:t xml:space="preserve"> </w:t>
      </w:r>
      <w:r>
        <w:rPr>
          <w:rFonts w:ascii="Tms Rmn" w:hAnsi="Tms Rmn"/>
          <w:b/>
          <w:sz w:val="22"/>
        </w:rPr>
        <w:tab/>
      </w:r>
      <w:r>
        <w:rPr>
          <w:rFonts w:ascii="Arial" w:hAnsi="Arial"/>
          <w:b/>
          <w:sz w:val="22"/>
        </w:rPr>
        <w:t xml:space="preserve">[8] Market risk management  </w:t>
      </w:r>
    </w:p>
    <w:p w14:paraId="02C86ACB" w14:textId="77777777" w:rsidR="00DD068D" w:rsidRDefault="00DD068D">
      <w:pPr>
        <w:tabs>
          <w:tab w:val="left" w:pos="709"/>
          <w:tab w:val="left" w:pos="851"/>
          <w:tab w:val="left" w:pos="2127"/>
        </w:tabs>
        <w:ind w:left="709" w:right="9" w:hanging="709"/>
        <w:jc w:val="both"/>
        <w:rPr>
          <w:rFonts w:ascii="Arial" w:hAnsi="Arial"/>
          <w:sz w:val="22"/>
        </w:rPr>
      </w:pPr>
    </w:p>
    <w:p w14:paraId="5DB59B4D" w14:textId="77777777" w:rsidR="00DD068D" w:rsidRPr="00DE2909" w:rsidRDefault="00DD068D">
      <w:pPr>
        <w:pStyle w:val="BodyTextIndent2"/>
        <w:ind w:right="9"/>
        <w:rPr>
          <w:rFonts w:ascii="Arial" w:hAnsi="Arial"/>
          <w:sz w:val="22"/>
          <w:szCs w:val="22"/>
        </w:rPr>
      </w:pPr>
      <w:r w:rsidRPr="00DE2909">
        <w:rPr>
          <w:rFonts w:ascii="Arial" w:hAnsi="Arial"/>
          <w:sz w:val="22"/>
          <w:szCs w:val="22"/>
        </w:rPr>
        <w:t>SC will seek to ensure that its stated treasury management policies and objectives will not be compromised by adverse market fluctuations in the value of the principal sums it invests, and will accordingly seek to protect itself from the effects of such fluctuations.</w:t>
      </w:r>
    </w:p>
    <w:p w14:paraId="1B13D1F9" w14:textId="77777777" w:rsidR="00DD068D" w:rsidRDefault="00DD068D">
      <w:pPr>
        <w:pStyle w:val="BodyTextIndent2"/>
        <w:ind w:right="9"/>
        <w:rPr>
          <w:rFonts w:ascii="Arial" w:hAnsi="Arial"/>
        </w:rPr>
      </w:pPr>
    </w:p>
    <w:p w14:paraId="626AFE6B" w14:textId="77777777" w:rsidR="00DD068D" w:rsidRDefault="00DD068D">
      <w:pPr>
        <w:pStyle w:val="BodyTextIndent2"/>
        <w:ind w:right="9"/>
        <w:rPr>
          <w:rFonts w:ascii="Arial" w:hAnsi="Arial"/>
        </w:rPr>
      </w:pPr>
    </w:p>
    <w:p w14:paraId="3DAF3B38" w14:textId="77777777" w:rsidR="00DD068D" w:rsidRDefault="00DD068D">
      <w:pPr>
        <w:pStyle w:val="Heading6"/>
        <w:keepNext w:val="0"/>
        <w:pageBreakBefore/>
        <w:ind w:left="706" w:right="14" w:hanging="706"/>
        <w:rPr>
          <w:rFonts w:ascii="Arial" w:hAnsi="Arial"/>
        </w:rPr>
      </w:pPr>
      <w:r>
        <w:rPr>
          <w:rFonts w:ascii="Arial" w:hAnsi="Arial"/>
        </w:rPr>
        <w:lastRenderedPageBreak/>
        <w:t>TMP2 PERFORMANCE MEASUREMENT</w:t>
      </w:r>
    </w:p>
    <w:p w14:paraId="067F9FD9" w14:textId="77777777" w:rsidR="00DD068D" w:rsidRDefault="00DD068D">
      <w:pPr>
        <w:tabs>
          <w:tab w:val="left" w:pos="709"/>
          <w:tab w:val="left" w:pos="851"/>
          <w:tab w:val="left" w:pos="2127"/>
        </w:tabs>
        <w:ind w:left="709" w:right="9" w:hanging="709"/>
        <w:jc w:val="both"/>
        <w:rPr>
          <w:rFonts w:ascii="Arial" w:hAnsi="Arial"/>
          <w:sz w:val="22"/>
        </w:rPr>
      </w:pPr>
    </w:p>
    <w:p w14:paraId="69240CC4" w14:textId="77777777" w:rsidR="00DD068D" w:rsidRDefault="00DD068D">
      <w:pPr>
        <w:tabs>
          <w:tab w:val="left" w:pos="709"/>
          <w:tab w:val="left" w:pos="2127"/>
        </w:tabs>
        <w:ind w:left="709" w:right="9" w:hanging="709"/>
        <w:jc w:val="both"/>
        <w:rPr>
          <w:rFonts w:ascii="Arial" w:hAnsi="Arial"/>
          <w:sz w:val="22"/>
        </w:rPr>
      </w:pPr>
      <w:r>
        <w:rPr>
          <w:rFonts w:ascii="Tms Rmn" w:hAnsi="Tms Rmn"/>
          <w:sz w:val="22"/>
        </w:rPr>
        <w:tab/>
      </w:r>
      <w:r>
        <w:rPr>
          <w:rFonts w:ascii="Arial" w:hAnsi="Arial"/>
          <w:sz w:val="22"/>
        </w:rPr>
        <w:t>SC is committed to the pursuit of value for money in its treasury management activities, and to the use of performance methodology in support of that aim, within the framework set out in its Treasury Management Policy Statement.</w:t>
      </w:r>
    </w:p>
    <w:p w14:paraId="270A993D" w14:textId="77777777" w:rsidR="00DD068D" w:rsidRDefault="00DD068D">
      <w:pPr>
        <w:tabs>
          <w:tab w:val="left" w:pos="709"/>
          <w:tab w:val="left" w:pos="851"/>
          <w:tab w:val="left" w:pos="2127"/>
        </w:tabs>
        <w:ind w:left="709" w:right="9" w:hanging="709"/>
        <w:jc w:val="both"/>
        <w:rPr>
          <w:rFonts w:ascii="Arial" w:hAnsi="Arial"/>
          <w:sz w:val="22"/>
        </w:rPr>
      </w:pPr>
    </w:p>
    <w:p w14:paraId="5CA5916D" w14:textId="77777777" w:rsidR="00DD068D" w:rsidRDefault="00DD068D">
      <w:pPr>
        <w:tabs>
          <w:tab w:val="left" w:pos="709"/>
          <w:tab w:val="left" w:pos="851"/>
          <w:tab w:val="left" w:pos="2127"/>
        </w:tabs>
        <w:ind w:left="709" w:right="9" w:hanging="709"/>
        <w:jc w:val="both"/>
        <w:rPr>
          <w:rFonts w:ascii="Arial" w:hAnsi="Arial"/>
          <w:sz w:val="22"/>
        </w:rPr>
      </w:pPr>
      <w:r>
        <w:rPr>
          <w:rFonts w:ascii="Arial" w:hAnsi="Arial"/>
          <w:sz w:val="22"/>
        </w:rPr>
        <w:tab/>
        <w:t xml:space="preserve">Accordingly, the treasury management function will be the subject of ongoing analysis of the value it adds in support of the organisation’s stated business or service objectives.  It will be the subject of regular examination of alternative methods of service delivery, of the availability of fiscal or other grant or subsidy incentives, and of the scope for other potential improvements.  The performance of the treasury management function will be measured using the criteria set out in the schedule to this document. </w:t>
      </w:r>
    </w:p>
    <w:p w14:paraId="56C8DB63" w14:textId="77777777" w:rsidR="00DD068D" w:rsidRDefault="00DD068D">
      <w:pPr>
        <w:tabs>
          <w:tab w:val="left" w:pos="709"/>
          <w:tab w:val="left" w:pos="851"/>
          <w:tab w:val="left" w:pos="2127"/>
        </w:tabs>
        <w:ind w:right="9"/>
        <w:jc w:val="both"/>
        <w:rPr>
          <w:rFonts w:ascii="Tms Rmn" w:hAnsi="Tms Rmn"/>
          <w:sz w:val="22"/>
        </w:rPr>
      </w:pPr>
    </w:p>
    <w:p w14:paraId="7295482B" w14:textId="77777777" w:rsidR="00DD068D" w:rsidRDefault="00DD068D">
      <w:pPr>
        <w:pStyle w:val="Heading6"/>
        <w:keepNext w:val="0"/>
        <w:ind w:left="706" w:right="14" w:hanging="706"/>
      </w:pPr>
      <w:r>
        <w:rPr>
          <w:rFonts w:ascii="Arial" w:hAnsi="Arial"/>
        </w:rPr>
        <w:t>TMP3 DECISION-MAKING AND ANALYSIS</w:t>
      </w:r>
    </w:p>
    <w:p w14:paraId="63FE8657" w14:textId="77777777" w:rsidR="00DD068D" w:rsidRDefault="00DD068D">
      <w:pPr>
        <w:tabs>
          <w:tab w:val="left" w:pos="709"/>
          <w:tab w:val="left" w:pos="851"/>
          <w:tab w:val="left" w:pos="2127"/>
        </w:tabs>
        <w:ind w:left="709" w:right="9" w:hanging="709"/>
        <w:jc w:val="both"/>
        <w:rPr>
          <w:rFonts w:ascii="Tms Rmn" w:hAnsi="Tms Rmn"/>
          <w:sz w:val="22"/>
        </w:rPr>
      </w:pPr>
    </w:p>
    <w:p w14:paraId="3674A706" w14:textId="77777777" w:rsidR="00DD068D" w:rsidRDefault="00DD068D">
      <w:pPr>
        <w:ind w:left="709" w:right="9" w:hanging="709"/>
        <w:jc w:val="both"/>
        <w:rPr>
          <w:rFonts w:ascii="Arial" w:hAnsi="Arial"/>
          <w:sz w:val="22"/>
        </w:rPr>
      </w:pPr>
      <w:r>
        <w:rPr>
          <w:rFonts w:ascii="Tms Rmn" w:hAnsi="Tms Rmn"/>
          <w:sz w:val="22"/>
        </w:rPr>
        <w:tab/>
      </w:r>
      <w:r>
        <w:rPr>
          <w:rFonts w:ascii="Arial" w:hAnsi="Arial"/>
          <w:sz w:val="22"/>
        </w:rPr>
        <w:t>SC will maintain full records of its treasury management decisions, and of the processes and practices applied in reaching those decisions, both for the purposes of learning from the past, and for demonstrating that reasonable steps were taken to ensure that all issues relevant to those decisions were taken into account at the time.  The issues to be addressed and processes and practices to be pursued in reaching decisions are detailed in the schedule to this document.</w:t>
      </w:r>
    </w:p>
    <w:p w14:paraId="34386ED7" w14:textId="77777777" w:rsidR="00DD068D" w:rsidRDefault="00DD068D">
      <w:pPr>
        <w:tabs>
          <w:tab w:val="left" w:pos="709"/>
          <w:tab w:val="left" w:pos="851"/>
          <w:tab w:val="left" w:pos="2127"/>
        </w:tabs>
        <w:ind w:left="709" w:right="9" w:hanging="709"/>
        <w:jc w:val="both"/>
        <w:rPr>
          <w:rFonts w:ascii="Tms Rmn" w:hAnsi="Tms Rmn"/>
          <w:sz w:val="22"/>
        </w:rPr>
      </w:pPr>
    </w:p>
    <w:p w14:paraId="740109E4" w14:textId="77777777" w:rsidR="00DD068D" w:rsidRDefault="00DD068D">
      <w:pPr>
        <w:pStyle w:val="Heading6"/>
        <w:keepNext w:val="0"/>
        <w:tabs>
          <w:tab w:val="clear" w:pos="709"/>
          <w:tab w:val="clear" w:pos="2127"/>
        </w:tabs>
        <w:ind w:left="706" w:right="14" w:hanging="706"/>
      </w:pPr>
      <w:r>
        <w:rPr>
          <w:rFonts w:ascii="Arial" w:hAnsi="Arial"/>
        </w:rPr>
        <w:t>TMP4 APPROVED INSTRUMENTS, METHODS AND TECHNIQUES</w:t>
      </w:r>
    </w:p>
    <w:p w14:paraId="66E55D39" w14:textId="77777777" w:rsidR="00DD068D" w:rsidRDefault="00DD068D">
      <w:pPr>
        <w:tabs>
          <w:tab w:val="left" w:pos="709"/>
          <w:tab w:val="left" w:pos="851"/>
          <w:tab w:val="left" w:pos="2127"/>
        </w:tabs>
        <w:ind w:left="709" w:right="9" w:hanging="709"/>
        <w:jc w:val="both"/>
        <w:rPr>
          <w:rFonts w:ascii="Tms Rmn" w:hAnsi="Tms Rmn"/>
          <w:sz w:val="22"/>
        </w:rPr>
      </w:pPr>
    </w:p>
    <w:p w14:paraId="0836350B" w14:textId="77777777" w:rsidR="00DD068D" w:rsidRDefault="00DD068D">
      <w:pPr>
        <w:ind w:left="709" w:right="9" w:hanging="709"/>
        <w:jc w:val="both"/>
        <w:rPr>
          <w:rFonts w:ascii="Arial" w:hAnsi="Arial"/>
          <w:sz w:val="22"/>
        </w:rPr>
      </w:pPr>
      <w:r>
        <w:rPr>
          <w:rFonts w:ascii="Tms Rmn" w:hAnsi="Tms Rmn"/>
          <w:sz w:val="22"/>
        </w:rPr>
        <w:tab/>
      </w:r>
      <w:r>
        <w:rPr>
          <w:rFonts w:ascii="Arial" w:hAnsi="Arial"/>
          <w:sz w:val="22"/>
        </w:rPr>
        <w:t xml:space="preserve">SC will undertake its treasury management activities by employing only those instruments, methods and techniques detailed in the schedule to this document, and within the limits and parameters defined in TMP1, </w:t>
      </w:r>
      <w:r>
        <w:rPr>
          <w:rFonts w:ascii="Arial" w:hAnsi="Arial"/>
          <w:i/>
          <w:sz w:val="22"/>
        </w:rPr>
        <w:t>Risk management</w:t>
      </w:r>
      <w:r>
        <w:rPr>
          <w:rFonts w:ascii="Arial" w:hAnsi="Arial"/>
          <w:sz w:val="22"/>
        </w:rPr>
        <w:t>.</w:t>
      </w:r>
    </w:p>
    <w:p w14:paraId="229D989A" w14:textId="77777777" w:rsidR="00DD068D" w:rsidRDefault="00DD068D">
      <w:pPr>
        <w:ind w:right="9"/>
        <w:jc w:val="both"/>
        <w:rPr>
          <w:rFonts w:ascii="Tms Rmn" w:hAnsi="Tms Rmn"/>
          <w:sz w:val="22"/>
        </w:rPr>
      </w:pPr>
    </w:p>
    <w:p w14:paraId="12F408DD" w14:textId="77777777" w:rsidR="00DD068D" w:rsidRDefault="00DD068D">
      <w:pPr>
        <w:ind w:left="720" w:right="389" w:hanging="720"/>
        <w:jc w:val="both"/>
        <w:rPr>
          <w:rFonts w:ascii="Arial" w:hAnsi="Arial"/>
          <w:b/>
          <w:sz w:val="22"/>
        </w:rPr>
      </w:pPr>
      <w:r>
        <w:rPr>
          <w:rFonts w:ascii="Arial" w:hAnsi="Arial"/>
          <w:b/>
          <w:sz w:val="22"/>
        </w:rPr>
        <w:t>TMP5 ORGANISATION, CLARITY AND SEGREGATION OF RESPONSIBILITIES, AND DEALING ARRANGEMENTS</w:t>
      </w:r>
    </w:p>
    <w:p w14:paraId="3704D39D" w14:textId="77777777" w:rsidR="00DD068D" w:rsidRDefault="00DD068D">
      <w:pPr>
        <w:tabs>
          <w:tab w:val="left" w:pos="851"/>
          <w:tab w:val="left" w:pos="2127"/>
        </w:tabs>
        <w:ind w:left="709" w:right="387" w:hanging="709"/>
        <w:jc w:val="both"/>
        <w:rPr>
          <w:rFonts w:ascii="Tms Rmn" w:hAnsi="Tms Rmn"/>
          <w:sz w:val="22"/>
        </w:rPr>
      </w:pPr>
    </w:p>
    <w:p w14:paraId="4F36F2E5" w14:textId="77777777" w:rsidR="00DD068D" w:rsidRDefault="00DD068D">
      <w:pPr>
        <w:ind w:left="731" w:right="9" w:hanging="731"/>
        <w:jc w:val="both"/>
        <w:rPr>
          <w:rFonts w:ascii="Arial" w:hAnsi="Arial"/>
          <w:sz w:val="22"/>
        </w:rPr>
      </w:pPr>
      <w:r>
        <w:rPr>
          <w:rFonts w:ascii="Tms Rmn" w:hAnsi="Tms Rmn"/>
          <w:sz w:val="22"/>
        </w:rPr>
        <w:tab/>
      </w:r>
      <w:r>
        <w:rPr>
          <w:rFonts w:ascii="Arial" w:hAnsi="Arial"/>
          <w:sz w:val="22"/>
        </w:rPr>
        <w:t xml:space="preserve">SC considers it essential, for the purposes of the effective control and monitoring of its treasury management activities, and for the reduction of the risk of fraud or error, and for the pursuit of optimum performance, that these activities are structured and managed in a fully integrated manner, and that there is at all times a clarity of treasury management responsibilities. </w:t>
      </w:r>
    </w:p>
    <w:p w14:paraId="0A111243" w14:textId="77777777" w:rsidR="00DD068D" w:rsidRDefault="00DD068D">
      <w:pPr>
        <w:ind w:left="731" w:right="9" w:hanging="731"/>
        <w:jc w:val="both"/>
        <w:rPr>
          <w:rFonts w:ascii="Arial" w:hAnsi="Arial"/>
          <w:sz w:val="22"/>
        </w:rPr>
      </w:pPr>
    </w:p>
    <w:p w14:paraId="4BF64A5D" w14:textId="77777777" w:rsidR="00DD068D" w:rsidRDefault="00DD068D">
      <w:pPr>
        <w:ind w:left="731" w:right="9" w:hanging="731"/>
        <w:jc w:val="both"/>
        <w:rPr>
          <w:rFonts w:ascii="Arial" w:hAnsi="Arial"/>
          <w:sz w:val="22"/>
        </w:rPr>
      </w:pPr>
      <w:r>
        <w:rPr>
          <w:rFonts w:ascii="Arial" w:hAnsi="Arial"/>
          <w:sz w:val="22"/>
        </w:rPr>
        <w:tab/>
        <w:t>The principles on which this will be based is a clear distinction between those charged with setting treasury management policies and those charged with implementing and controlling these policies, particularly with regard to the execution and transmission of funds, the recording and administering of treasury management decisions, and the audit and review of the treasury management function.</w:t>
      </w:r>
    </w:p>
    <w:p w14:paraId="428FAA33" w14:textId="77777777" w:rsidR="00DD068D" w:rsidRDefault="00DD068D">
      <w:pPr>
        <w:ind w:left="731" w:right="9" w:hanging="731"/>
        <w:jc w:val="both"/>
        <w:rPr>
          <w:rFonts w:ascii="Arial" w:hAnsi="Arial"/>
          <w:sz w:val="22"/>
        </w:rPr>
      </w:pPr>
      <w:r>
        <w:rPr>
          <w:rFonts w:ascii="Arial" w:hAnsi="Arial"/>
          <w:sz w:val="22"/>
        </w:rPr>
        <w:tab/>
      </w:r>
    </w:p>
    <w:p w14:paraId="1C814D42" w14:textId="77777777" w:rsidR="00DD068D" w:rsidRDefault="00DD068D">
      <w:pPr>
        <w:ind w:left="731" w:right="9" w:hanging="731"/>
        <w:jc w:val="both"/>
        <w:rPr>
          <w:rFonts w:ascii="Arial" w:hAnsi="Arial"/>
          <w:sz w:val="22"/>
        </w:rPr>
      </w:pPr>
      <w:r>
        <w:rPr>
          <w:rFonts w:ascii="Arial" w:hAnsi="Arial"/>
          <w:sz w:val="22"/>
        </w:rPr>
        <w:tab/>
        <w:t xml:space="preserve">If and when SC intends, as a result of lack of resources or other circumstances, to depart from these principles, the Head of Finance, Governance &amp; Assurance (s151 Officer) will ensure that the reasons are properly reported in accordance with </w:t>
      </w:r>
      <w:r>
        <w:rPr>
          <w:rFonts w:ascii="Arial" w:hAnsi="Arial"/>
          <w:i/>
          <w:sz w:val="22"/>
        </w:rPr>
        <w:t>TMP6 Reporting requirements and management information arrangements</w:t>
      </w:r>
      <w:r>
        <w:rPr>
          <w:rFonts w:ascii="Arial" w:hAnsi="Arial"/>
          <w:sz w:val="22"/>
        </w:rPr>
        <w:t>, and the implications properly considered and evaluated.</w:t>
      </w:r>
    </w:p>
    <w:p w14:paraId="277D9194" w14:textId="77777777" w:rsidR="00DD068D" w:rsidRDefault="00DD068D">
      <w:pPr>
        <w:ind w:left="731" w:right="9" w:hanging="731"/>
        <w:jc w:val="both"/>
        <w:rPr>
          <w:rFonts w:ascii="Arial" w:hAnsi="Arial"/>
          <w:sz w:val="22"/>
        </w:rPr>
      </w:pPr>
    </w:p>
    <w:p w14:paraId="1746A1E0" w14:textId="77777777" w:rsidR="00DD068D" w:rsidRDefault="00DD068D">
      <w:pPr>
        <w:ind w:left="731" w:right="9" w:hanging="731"/>
        <w:jc w:val="both"/>
        <w:rPr>
          <w:rFonts w:ascii="Arial" w:hAnsi="Arial"/>
          <w:sz w:val="22"/>
        </w:rPr>
      </w:pPr>
      <w:r>
        <w:rPr>
          <w:rFonts w:ascii="Arial" w:hAnsi="Arial"/>
          <w:sz w:val="22"/>
        </w:rPr>
        <w:tab/>
        <w:t>The Head of Finance, Governance &amp; Assurance (s151 Officer) will ensure that there are clear written statements of the responsibilities for each post engaged in treasury management, and the arrangement for absence cover.  The present arrangements are detailed in the schedule to this document.</w:t>
      </w:r>
    </w:p>
    <w:p w14:paraId="0BBCD051" w14:textId="77777777" w:rsidR="00DD068D" w:rsidRDefault="00DD068D">
      <w:pPr>
        <w:ind w:left="731" w:right="9" w:hanging="731"/>
        <w:jc w:val="both"/>
        <w:rPr>
          <w:rFonts w:ascii="Arial" w:hAnsi="Arial"/>
          <w:sz w:val="22"/>
        </w:rPr>
      </w:pPr>
    </w:p>
    <w:p w14:paraId="659060E8" w14:textId="77777777" w:rsidR="00DD068D" w:rsidRPr="00DE2909" w:rsidRDefault="00DD068D">
      <w:pPr>
        <w:pStyle w:val="BodyText3"/>
        <w:ind w:left="720"/>
        <w:rPr>
          <w:rFonts w:ascii="Arial" w:hAnsi="Arial"/>
          <w:sz w:val="22"/>
          <w:szCs w:val="22"/>
        </w:rPr>
      </w:pPr>
      <w:r w:rsidRPr="00DE2909">
        <w:rPr>
          <w:rFonts w:ascii="Arial" w:hAnsi="Arial"/>
          <w:sz w:val="22"/>
          <w:szCs w:val="22"/>
        </w:rPr>
        <w:lastRenderedPageBreak/>
        <w:t>The Head of Finance, Governance &amp; Assurance (s151 Officer) will ensure there is proper documentation for all deals and transactions, and that procedures exist for the effective transmission of funds.  The present arrangements are detailed in the schedule to this document.</w:t>
      </w:r>
    </w:p>
    <w:p w14:paraId="6EE287EF" w14:textId="77777777" w:rsidR="00DD068D" w:rsidRDefault="00DD068D">
      <w:pPr>
        <w:ind w:left="731" w:right="9" w:hanging="731"/>
        <w:jc w:val="both"/>
        <w:rPr>
          <w:rFonts w:ascii="Arial" w:hAnsi="Arial"/>
          <w:sz w:val="22"/>
        </w:rPr>
      </w:pPr>
    </w:p>
    <w:p w14:paraId="0385CBFF" w14:textId="77777777" w:rsidR="00DD068D" w:rsidRDefault="00DD068D">
      <w:pPr>
        <w:ind w:left="731" w:right="9" w:hanging="731"/>
        <w:jc w:val="both"/>
        <w:rPr>
          <w:rFonts w:ascii="Arial" w:hAnsi="Arial"/>
          <w:sz w:val="22"/>
        </w:rPr>
      </w:pPr>
      <w:r>
        <w:rPr>
          <w:rFonts w:ascii="Arial" w:hAnsi="Arial"/>
          <w:sz w:val="22"/>
        </w:rPr>
        <w:tab/>
        <w:t>The delegation to the Head of Finance, Governance &amp; Assurance (s151 Officer) in respect of treasury management is set out in the schedule to this document.  The Head of Finance, Governance &amp; Assurance (s151 Officer) will fulfill all such responsibilities in accordance with the organisation’s policy statement and TMPs and, the Standard of Professional Practice on treasury management.</w:t>
      </w:r>
    </w:p>
    <w:p w14:paraId="3EEFA5F7" w14:textId="77777777" w:rsidR="00DD068D" w:rsidRDefault="00DD068D">
      <w:pPr>
        <w:tabs>
          <w:tab w:val="left" w:pos="851"/>
          <w:tab w:val="left" w:pos="2127"/>
        </w:tabs>
        <w:ind w:right="9"/>
        <w:jc w:val="both"/>
        <w:rPr>
          <w:rFonts w:ascii="Tms Rmn" w:hAnsi="Tms Rmn"/>
          <w:sz w:val="22"/>
        </w:rPr>
      </w:pPr>
    </w:p>
    <w:p w14:paraId="0ABED4A4" w14:textId="77777777" w:rsidR="00DD068D" w:rsidRDefault="00DD068D">
      <w:pPr>
        <w:tabs>
          <w:tab w:val="left" w:pos="2160"/>
        </w:tabs>
        <w:ind w:left="706" w:right="14" w:hanging="706"/>
        <w:jc w:val="both"/>
        <w:rPr>
          <w:rFonts w:ascii="Arial" w:hAnsi="Arial"/>
          <w:b/>
          <w:sz w:val="22"/>
        </w:rPr>
      </w:pPr>
      <w:r>
        <w:rPr>
          <w:rFonts w:ascii="Arial" w:hAnsi="Arial"/>
          <w:b/>
          <w:sz w:val="22"/>
        </w:rPr>
        <w:t xml:space="preserve">TMP6 REPORTING REQUIREMENTS AND MANAGEMENT INFORMATION </w:t>
      </w:r>
    </w:p>
    <w:p w14:paraId="55F05E3C" w14:textId="77777777" w:rsidR="00DD068D" w:rsidRDefault="00DD068D">
      <w:pPr>
        <w:tabs>
          <w:tab w:val="left" w:pos="2160"/>
        </w:tabs>
        <w:ind w:left="706" w:right="14" w:hanging="706"/>
        <w:jc w:val="both"/>
        <w:rPr>
          <w:rFonts w:ascii="Arial" w:hAnsi="Arial"/>
          <w:b/>
          <w:sz w:val="22"/>
        </w:rPr>
      </w:pPr>
      <w:r>
        <w:rPr>
          <w:rFonts w:ascii="Arial" w:hAnsi="Arial"/>
          <w:b/>
          <w:sz w:val="22"/>
        </w:rPr>
        <w:tab/>
        <w:t>ARRANGEMENTS</w:t>
      </w:r>
    </w:p>
    <w:p w14:paraId="015C08A8" w14:textId="77777777" w:rsidR="00DD068D" w:rsidRDefault="00DD068D">
      <w:pPr>
        <w:tabs>
          <w:tab w:val="left" w:pos="851"/>
          <w:tab w:val="left" w:pos="2127"/>
        </w:tabs>
        <w:ind w:left="709" w:right="9" w:hanging="709"/>
        <w:jc w:val="both"/>
        <w:rPr>
          <w:rFonts w:ascii="Arial" w:hAnsi="Arial"/>
          <w:sz w:val="22"/>
        </w:rPr>
      </w:pPr>
    </w:p>
    <w:p w14:paraId="42C4B4E0" w14:textId="77777777" w:rsidR="00DD068D" w:rsidRDefault="00DD068D">
      <w:pPr>
        <w:ind w:left="731" w:right="9" w:hanging="731"/>
        <w:jc w:val="both"/>
        <w:rPr>
          <w:rFonts w:ascii="Arial" w:hAnsi="Arial"/>
          <w:sz w:val="22"/>
        </w:rPr>
      </w:pPr>
      <w:r>
        <w:rPr>
          <w:rFonts w:ascii="Tms Rmn" w:hAnsi="Tms Rmn"/>
          <w:sz w:val="22"/>
        </w:rPr>
        <w:tab/>
      </w:r>
      <w:r>
        <w:rPr>
          <w:rFonts w:ascii="Arial" w:hAnsi="Arial"/>
          <w:sz w:val="22"/>
        </w:rPr>
        <w:t>SC will ensure that regular reports are prepared and considered on the implementation of its treasury management policies; on the effects of decisions taken and the transactions executed in pursuit of those policies; on the implications of changes, particularly budgetary, resulting from regulatory, economic, market or other factors affecting its treasury management activities; and on the performance of the treasury management function.</w:t>
      </w:r>
    </w:p>
    <w:p w14:paraId="0F5BD6C9" w14:textId="77777777" w:rsidR="00DD068D" w:rsidRDefault="00DD068D">
      <w:pPr>
        <w:ind w:left="731" w:right="9" w:hanging="731"/>
        <w:jc w:val="both"/>
        <w:rPr>
          <w:rFonts w:ascii="Arial" w:hAnsi="Arial"/>
          <w:sz w:val="22"/>
        </w:rPr>
      </w:pPr>
    </w:p>
    <w:p w14:paraId="514BA10E" w14:textId="77777777" w:rsidR="00DD068D" w:rsidRDefault="00DD068D" w:rsidP="009A764C">
      <w:pPr>
        <w:ind w:left="720" w:right="9"/>
        <w:jc w:val="both"/>
        <w:rPr>
          <w:rFonts w:ascii="Arial" w:hAnsi="Arial"/>
          <w:sz w:val="22"/>
        </w:rPr>
      </w:pPr>
      <w:r>
        <w:rPr>
          <w:rFonts w:ascii="Arial" w:hAnsi="Arial"/>
          <w:sz w:val="22"/>
        </w:rPr>
        <w:t>As a minimum, the organisation (i.e. full board/council/cabinet/audit) will receive:</w:t>
      </w:r>
    </w:p>
    <w:p w14:paraId="5D6E6D3A" w14:textId="77777777" w:rsidR="00DD068D" w:rsidRDefault="00DD068D">
      <w:pPr>
        <w:tabs>
          <w:tab w:val="left" w:pos="851"/>
          <w:tab w:val="left" w:pos="2127"/>
        </w:tabs>
        <w:ind w:right="9"/>
        <w:jc w:val="both"/>
        <w:rPr>
          <w:rFonts w:ascii="Arial" w:hAnsi="Arial"/>
          <w:sz w:val="22"/>
        </w:rPr>
      </w:pPr>
    </w:p>
    <w:p w14:paraId="70612D6C" w14:textId="77777777" w:rsidR="00DD068D" w:rsidRDefault="00DD068D" w:rsidP="00DD068D">
      <w:pPr>
        <w:numPr>
          <w:ilvl w:val="0"/>
          <w:numId w:val="38"/>
        </w:numPr>
        <w:tabs>
          <w:tab w:val="left" w:pos="360"/>
        </w:tabs>
        <w:overflowPunct w:val="0"/>
        <w:autoSpaceDE w:val="0"/>
        <w:autoSpaceDN w:val="0"/>
        <w:adjustRightInd w:val="0"/>
        <w:ind w:right="9"/>
        <w:jc w:val="both"/>
        <w:textAlignment w:val="baseline"/>
        <w:rPr>
          <w:rFonts w:ascii="Arial" w:hAnsi="Arial"/>
          <w:sz w:val="22"/>
        </w:rPr>
      </w:pPr>
      <w:r>
        <w:rPr>
          <w:rFonts w:ascii="Arial" w:hAnsi="Arial"/>
          <w:sz w:val="22"/>
        </w:rPr>
        <w:t>an annual report on the strategy and plan to be pursued in the coming year</w:t>
      </w:r>
    </w:p>
    <w:p w14:paraId="5B1882E4" w14:textId="77777777" w:rsidR="00DD068D" w:rsidRDefault="00DD068D" w:rsidP="00DD068D">
      <w:pPr>
        <w:numPr>
          <w:ilvl w:val="0"/>
          <w:numId w:val="38"/>
        </w:numPr>
        <w:tabs>
          <w:tab w:val="left" w:pos="851"/>
        </w:tabs>
        <w:overflowPunct w:val="0"/>
        <w:autoSpaceDE w:val="0"/>
        <w:autoSpaceDN w:val="0"/>
        <w:adjustRightInd w:val="0"/>
        <w:ind w:left="993" w:right="9" w:hanging="284"/>
        <w:jc w:val="both"/>
        <w:textAlignment w:val="baseline"/>
        <w:rPr>
          <w:rFonts w:ascii="Arial" w:hAnsi="Arial"/>
          <w:sz w:val="22"/>
        </w:rPr>
      </w:pPr>
      <w:r>
        <w:rPr>
          <w:rFonts w:ascii="Arial" w:hAnsi="Arial"/>
          <w:sz w:val="22"/>
        </w:rPr>
        <w:t>an annual report on the performance of the treasury management function, on the effects of the decisions taken and the transactions executed in the past year, and on any circumstances of non-compliance with the organisation’s Treasury Management Policy Statement and TMPs.</w:t>
      </w:r>
    </w:p>
    <w:p w14:paraId="56624C01" w14:textId="77777777" w:rsidR="00DD068D" w:rsidRDefault="00DD068D" w:rsidP="00DD068D">
      <w:pPr>
        <w:numPr>
          <w:ilvl w:val="0"/>
          <w:numId w:val="38"/>
        </w:numPr>
        <w:tabs>
          <w:tab w:val="left" w:pos="851"/>
        </w:tabs>
        <w:overflowPunct w:val="0"/>
        <w:autoSpaceDE w:val="0"/>
        <w:autoSpaceDN w:val="0"/>
        <w:adjustRightInd w:val="0"/>
        <w:ind w:left="993" w:right="9" w:hanging="284"/>
        <w:jc w:val="both"/>
        <w:textAlignment w:val="baseline"/>
        <w:rPr>
          <w:rFonts w:ascii="Arial" w:hAnsi="Arial"/>
          <w:sz w:val="22"/>
        </w:rPr>
      </w:pPr>
      <w:r>
        <w:rPr>
          <w:rFonts w:ascii="Arial" w:hAnsi="Arial"/>
          <w:sz w:val="22"/>
        </w:rPr>
        <w:t>A mid year review</w:t>
      </w:r>
    </w:p>
    <w:p w14:paraId="140AA0C7" w14:textId="77777777" w:rsidR="00DD068D" w:rsidRDefault="00DD068D" w:rsidP="00DD068D">
      <w:pPr>
        <w:numPr>
          <w:ilvl w:val="0"/>
          <w:numId w:val="38"/>
        </w:numPr>
        <w:tabs>
          <w:tab w:val="left" w:pos="851"/>
        </w:tabs>
        <w:overflowPunct w:val="0"/>
        <w:autoSpaceDE w:val="0"/>
        <w:autoSpaceDN w:val="0"/>
        <w:adjustRightInd w:val="0"/>
        <w:ind w:left="993" w:right="9" w:hanging="284"/>
        <w:jc w:val="both"/>
        <w:textAlignment w:val="baseline"/>
        <w:rPr>
          <w:rFonts w:ascii="Arial" w:hAnsi="Arial"/>
          <w:sz w:val="22"/>
        </w:rPr>
      </w:pPr>
      <w:r>
        <w:rPr>
          <w:rFonts w:ascii="Arial" w:hAnsi="Arial"/>
          <w:sz w:val="22"/>
        </w:rPr>
        <w:t>An annual investment strategy setting out the procedures for determining the use of each class of investment and appropriate limits to be applied to each class.</w:t>
      </w:r>
    </w:p>
    <w:p w14:paraId="76C6A0AC" w14:textId="77777777" w:rsidR="00DD068D" w:rsidRDefault="00DD068D" w:rsidP="00DD068D">
      <w:pPr>
        <w:numPr>
          <w:ilvl w:val="0"/>
          <w:numId w:val="38"/>
        </w:numPr>
        <w:tabs>
          <w:tab w:val="left" w:pos="851"/>
        </w:tabs>
        <w:overflowPunct w:val="0"/>
        <w:autoSpaceDE w:val="0"/>
        <w:autoSpaceDN w:val="0"/>
        <w:adjustRightInd w:val="0"/>
        <w:ind w:left="993" w:right="9" w:hanging="284"/>
        <w:jc w:val="both"/>
        <w:textAlignment w:val="baseline"/>
        <w:rPr>
          <w:rFonts w:ascii="Arial" w:hAnsi="Arial"/>
          <w:sz w:val="22"/>
        </w:rPr>
      </w:pPr>
      <w:r>
        <w:rPr>
          <w:rFonts w:ascii="Arial" w:hAnsi="Arial"/>
          <w:sz w:val="22"/>
        </w:rPr>
        <w:t>Quarterly Treasury Management Update reports (including Prudential Indicators)</w:t>
      </w:r>
    </w:p>
    <w:p w14:paraId="3D0ED108" w14:textId="77777777" w:rsidR="00DD068D" w:rsidRDefault="00DD068D">
      <w:pPr>
        <w:tabs>
          <w:tab w:val="left" w:pos="851"/>
        </w:tabs>
        <w:ind w:right="9"/>
        <w:jc w:val="both"/>
        <w:rPr>
          <w:rFonts w:ascii="Arial" w:hAnsi="Arial"/>
          <w:sz w:val="22"/>
        </w:rPr>
      </w:pPr>
    </w:p>
    <w:p w14:paraId="7C760522" w14:textId="77777777" w:rsidR="00DD068D" w:rsidRDefault="00DD068D">
      <w:pPr>
        <w:ind w:left="731" w:right="9" w:hanging="731"/>
        <w:jc w:val="both"/>
        <w:rPr>
          <w:rFonts w:ascii="Arial" w:hAnsi="Arial"/>
          <w:sz w:val="22"/>
        </w:rPr>
      </w:pPr>
      <w:r>
        <w:rPr>
          <w:rFonts w:ascii="Arial" w:hAnsi="Arial"/>
          <w:sz w:val="22"/>
        </w:rPr>
        <w:tab/>
        <w:t>The Audit Committee has responsibility for the scrutiny of treasury management policies and practices.</w:t>
      </w:r>
    </w:p>
    <w:p w14:paraId="56AFD266" w14:textId="77777777" w:rsidR="00DD068D" w:rsidRDefault="00DD068D">
      <w:pPr>
        <w:ind w:left="731" w:right="9" w:hanging="731"/>
        <w:jc w:val="both"/>
        <w:rPr>
          <w:rFonts w:ascii="Arial" w:hAnsi="Arial"/>
          <w:sz w:val="22"/>
        </w:rPr>
      </w:pPr>
    </w:p>
    <w:p w14:paraId="3227865F" w14:textId="77777777" w:rsidR="00DD068D" w:rsidRDefault="00DD068D" w:rsidP="009A764C">
      <w:pPr>
        <w:ind w:left="731" w:right="9" w:hanging="22"/>
        <w:jc w:val="both"/>
        <w:rPr>
          <w:rFonts w:ascii="Arial" w:hAnsi="Arial"/>
          <w:sz w:val="22"/>
        </w:rPr>
      </w:pPr>
      <w:r>
        <w:rPr>
          <w:rFonts w:ascii="Arial" w:hAnsi="Arial"/>
          <w:sz w:val="22"/>
        </w:rPr>
        <w:t>The present arrangements and the form of these reports are detailed in the schedule to this document.</w:t>
      </w:r>
    </w:p>
    <w:p w14:paraId="315AB2E5" w14:textId="77777777" w:rsidR="00DD068D" w:rsidRDefault="00DD068D">
      <w:pPr>
        <w:tabs>
          <w:tab w:val="left" w:pos="851"/>
          <w:tab w:val="left" w:pos="2127"/>
        </w:tabs>
        <w:ind w:left="709" w:right="9" w:hanging="709"/>
        <w:jc w:val="both"/>
        <w:rPr>
          <w:rFonts w:ascii="Arial" w:hAnsi="Arial"/>
          <w:sz w:val="22"/>
        </w:rPr>
      </w:pPr>
    </w:p>
    <w:p w14:paraId="7F8DC07F" w14:textId="77777777" w:rsidR="00DD068D" w:rsidRDefault="00DD068D">
      <w:pPr>
        <w:ind w:left="709" w:right="9" w:hanging="709"/>
        <w:jc w:val="both"/>
        <w:rPr>
          <w:rFonts w:ascii="Arial" w:hAnsi="Arial"/>
          <w:b/>
          <w:sz w:val="22"/>
        </w:rPr>
      </w:pPr>
      <w:r>
        <w:rPr>
          <w:rFonts w:ascii="Arial" w:hAnsi="Arial"/>
          <w:b/>
          <w:sz w:val="22"/>
        </w:rPr>
        <w:t>TMP7 BUDGETING, ACCOUNTING AND AUDIT ARRANGEMENTS</w:t>
      </w:r>
    </w:p>
    <w:p w14:paraId="7C1EC903" w14:textId="77777777" w:rsidR="00DD068D" w:rsidRDefault="00DD068D">
      <w:pPr>
        <w:pStyle w:val="BodyTextIndent2"/>
        <w:ind w:left="731" w:right="9" w:hanging="731"/>
      </w:pPr>
    </w:p>
    <w:p w14:paraId="4412621D" w14:textId="77777777" w:rsidR="00DD068D" w:rsidRPr="00DE2909" w:rsidRDefault="00DD068D">
      <w:pPr>
        <w:pStyle w:val="BodyTextIndent2"/>
        <w:ind w:left="731" w:right="9" w:hanging="731"/>
        <w:rPr>
          <w:rFonts w:ascii="Arial" w:hAnsi="Arial"/>
          <w:sz w:val="22"/>
          <w:szCs w:val="22"/>
        </w:rPr>
      </w:pPr>
      <w:r>
        <w:tab/>
      </w:r>
      <w:r w:rsidRPr="00DE2909">
        <w:rPr>
          <w:rFonts w:ascii="Arial" w:hAnsi="Arial"/>
          <w:sz w:val="22"/>
          <w:szCs w:val="22"/>
        </w:rPr>
        <w:t>The Head of Finance, Governance &amp; Assurance (s151 Officer) will prepare, and SC will approve and, if necessary, from time to time amend, an annual budget for treasury management, which will bring together all of the costs involved in running the treasury management function, together with associated income.  The matters to be included in the budget will at minimum be those required by statute or regulation, together with such information as will demonstrate compliance with TMP1 Risk management, TMP2 Performance measurement, and TMP4 Approved instruments, methods and techniques.  The form which SC’s budget will take is set out in the schedule to this document.  The Head of Finance, Governance &amp; Assurance (s151 Officer) will exercise effective controls over this budget, and will report upon and</w:t>
      </w:r>
      <w:r>
        <w:rPr>
          <w:rFonts w:ascii="Arial" w:hAnsi="Arial"/>
        </w:rPr>
        <w:t xml:space="preserve"> </w:t>
      </w:r>
      <w:r w:rsidRPr="00DE2909">
        <w:rPr>
          <w:rFonts w:ascii="Arial" w:hAnsi="Arial"/>
          <w:sz w:val="22"/>
          <w:szCs w:val="22"/>
        </w:rPr>
        <w:t>recommend any changes required in accordance with TMP6 Reporting requirements and management information arrangements.</w:t>
      </w:r>
    </w:p>
    <w:p w14:paraId="104ACD47" w14:textId="77777777" w:rsidR="00DD068D" w:rsidRDefault="00DD068D">
      <w:pPr>
        <w:pStyle w:val="BodyTextIndent2"/>
        <w:tabs>
          <w:tab w:val="left" w:pos="851"/>
          <w:tab w:val="left" w:pos="2127"/>
          <w:tab w:val="left" w:pos="2694"/>
          <w:tab w:val="left" w:pos="2835"/>
          <w:tab w:val="left" w:pos="2977"/>
        </w:tabs>
        <w:ind w:left="0" w:right="9"/>
        <w:rPr>
          <w:rFonts w:ascii="Arial" w:hAnsi="Arial"/>
        </w:rPr>
      </w:pPr>
    </w:p>
    <w:p w14:paraId="20B1CEFF" w14:textId="77777777" w:rsidR="00DD068D" w:rsidRPr="00DE2909" w:rsidRDefault="00DD068D">
      <w:pPr>
        <w:pStyle w:val="BodyTextIndent2"/>
        <w:ind w:left="731" w:right="9" w:hanging="731"/>
        <w:rPr>
          <w:rFonts w:ascii="Arial" w:hAnsi="Arial"/>
          <w:sz w:val="22"/>
          <w:szCs w:val="22"/>
        </w:rPr>
      </w:pPr>
      <w:r>
        <w:rPr>
          <w:rFonts w:ascii="Arial" w:hAnsi="Arial"/>
        </w:rPr>
        <w:lastRenderedPageBreak/>
        <w:tab/>
      </w:r>
      <w:r w:rsidRPr="00DE2909">
        <w:rPr>
          <w:rFonts w:ascii="Arial" w:hAnsi="Arial"/>
          <w:sz w:val="22"/>
          <w:szCs w:val="22"/>
        </w:rPr>
        <w:t xml:space="preserve">SC will account for its treasury management activities, for decisions made and transactions executed, in accordance with appropriate accounting practices and standards, and with statutory and regulatory requirements in force for the time being.  </w:t>
      </w:r>
    </w:p>
    <w:p w14:paraId="605EDAEF" w14:textId="77777777" w:rsidR="00DD068D" w:rsidRDefault="00DD068D">
      <w:pPr>
        <w:tabs>
          <w:tab w:val="left" w:pos="851"/>
          <w:tab w:val="left" w:pos="2127"/>
          <w:tab w:val="left" w:pos="2694"/>
          <w:tab w:val="left" w:pos="2835"/>
          <w:tab w:val="left" w:pos="2977"/>
        </w:tabs>
        <w:ind w:left="709" w:right="9" w:hanging="709"/>
        <w:jc w:val="both"/>
        <w:rPr>
          <w:rFonts w:ascii="Arial" w:hAnsi="Arial"/>
          <w:sz w:val="22"/>
        </w:rPr>
      </w:pPr>
    </w:p>
    <w:p w14:paraId="3201FBE9" w14:textId="77777777" w:rsidR="00DD068D" w:rsidRDefault="00DD068D">
      <w:pPr>
        <w:ind w:left="731" w:right="9" w:hanging="731"/>
        <w:jc w:val="both"/>
        <w:rPr>
          <w:rFonts w:ascii="Arial" w:hAnsi="Arial"/>
          <w:sz w:val="22"/>
        </w:rPr>
      </w:pPr>
      <w:r>
        <w:rPr>
          <w:rFonts w:ascii="Arial" w:hAnsi="Arial"/>
          <w:sz w:val="22"/>
        </w:rPr>
        <w:tab/>
        <w:t>SC will ensure that its auditors, and those charged with regulatory review, have access to all information and papers supporting the activities of the treasury management function as are necessary for the proper fulfillment of their roles, and that such information and papers demonstrate compliance with external and internal policies and approved practices. The information made available under present arrangements is detailed in the schedule to this document.</w:t>
      </w:r>
    </w:p>
    <w:p w14:paraId="1129E181" w14:textId="77777777" w:rsidR="00DD068D" w:rsidRDefault="00DD068D">
      <w:pPr>
        <w:tabs>
          <w:tab w:val="left" w:pos="851"/>
          <w:tab w:val="left" w:pos="2127"/>
          <w:tab w:val="left" w:pos="2694"/>
          <w:tab w:val="left" w:pos="2835"/>
          <w:tab w:val="left" w:pos="2977"/>
        </w:tabs>
        <w:ind w:right="9"/>
        <w:jc w:val="both"/>
        <w:rPr>
          <w:rFonts w:ascii="Tms Rmn" w:hAnsi="Tms Rmn"/>
          <w:sz w:val="22"/>
        </w:rPr>
      </w:pPr>
    </w:p>
    <w:p w14:paraId="0EBCCCC3" w14:textId="77777777" w:rsidR="00DD068D" w:rsidRDefault="00DD068D">
      <w:pPr>
        <w:ind w:left="709" w:right="9" w:hanging="709"/>
        <w:jc w:val="both"/>
        <w:rPr>
          <w:rFonts w:ascii="Tms Rmn" w:hAnsi="Tms Rmn"/>
          <w:b/>
          <w:sz w:val="22"/>
        </w:rPr>
      </w:pPr>
      <w:r>
        <w:rPr>
          <w:rFonts w:ascii="Arial" w:hAnsi="Arial"/>
          <w:b/>
          <w:sz w:val="22"/>
        </w:rPr>
        <w:t>TMP8 CASH AND CASH FLOW MANAGEMENT</w:t>
      </w:r>
    </w:p>
    <w:p w14:paraId="7C07FF79" w14:textId="77777777" w:rsidR="00DD068D" w:rsidRDefault="00DD068D">
      <w:pPr>
        <w:tabs>
          <w:tab w:val="left" w:pos="851"/>
          <w:tab w:val="left" w:pos="2127"/>
          <w:tab w:val="left" w:pos="2694"/>
          <w:tab w:val="left" w:pos="2835"/>
          <w:tab w:val="left" w:pos="2977"/>
        </w:tabs>
        <w:ind w:left="709" w:right="9" w:hanging="709"/>
        <w:jc w:val="both"/>
        <w:rPr>
          <w:rFonts w:ascii="Tms Rmn" w:hAnsi="Tms Rmn"/>
          <w:sz w:val="22"/>
        </w:rPr>
      </w:pPr>
    </w:p>
    <w:p w14:paraId="59E0AC5B" w14:textId="77777777" w:rsidR="00DD068D" w:rsidRPr="00DE2909" w:rsidRDefault="00DD068D">
      <w:pPr>
        <w:pStyle w:val="BodyTextIndent2"/>
        <w:ind w:left="731" w:right="9" w:hanging="731"/>
        <w:rPr>
          <w:rFonts w:ascii="Arial" w:hAnsi="Arial"/>
          <w:sz w:val="22"/>
          <w:szCs w:val="22"/>
        </w:rPr>
      </w:pPr>
      <w:r>
        <w:tab/>
      </w:r>
      <w:r w:rsidRPr="00DE2909">
        <w:rPr>
          <w:rFonts w:ascii="Arial" w:hAnsi="Arial"/>
          <w:sz w:val="22"/>
          <w:szCs w:val="22"/>
        </w:rPr>
        <w:t>Unless statutory or regulatory requirements demand otherwise, all monies in the hands of SC will be under the control of the Head of Finance, Governance &amp; Assurance (s151 Officer), and will be aggregated for cash flow and investment management purposes.  Cash flow projections will be prepared on a regular and timely basis, and the Head of Finance, Governance &amp; Assurance (s151 Officer) will ensure that these are adequate for the purposes of monitoring compliance with TMP1[2] Liquidity risk management. The present arrangements for preparing cash flow projections, and their form, are set out in the schedule to this document.</w:t>
      </w:r>
    </w:p>
    <w:p w14:paraId="1B411260" w14:textId="77777777" w:rsidR="00DD068D" w:rsidRDefault="00DD068D">
      <w:pPr>
        <w:pStyle w:val="BodyTextIndent2"/>
        <w:tabs>
          <w:tab w:val="left" w:pos="851"/>
          <w:tab w:val="left" w:pos="2127"/>
          <w:tab w:val="left" w:pos="2694"/>
          <w:tab w:val="left" w:pos="2835"/>
          <w:tab w:val="left" w:pos="2977"/>
        </w:tabs>
        <w:ind w:left="0" w:right="9"/>
      </w:pPr>
    </w:p>
    <w:p w14:paraId="2A6AB542" w14:textId="77777777" w:rsidR="00DD068D" w:rsidRDefault="00DD068D">
      <w:pPr>
        <w:pStyle w:val="BodyTextIndent2"/>
        <w:ind w:left="709" w:right="9" w:hanging="709"/>
        <w:rPr>
          <w:b/>
        </w:rPr>
      </w:pPr>
      <w:r>
        <w:rPr>
          <w:rFonts w:ascii="Arial" w:hAnsi="Arial"/>
          <w:b/>
        </w:rPr>
        <w:t>TMP9 MONEY LAUNDERING</w:t>
      </w:r>
    </w:p>
    <w:p w14:paraId="5AB86A49" w14:textId="77777777" w:rsidR="00DD068D" w:rsidRDefault="00DD068D">
      <w:pPr>
        <w:tabs>
          <w:tab w:val="left" w:pos="851"/>
          <w:tab w:val="left" w:pos="2127"/>
          <w:tab w:val="left" w:pos="2694"/>
          <w:tab w:val="left" w:pos="2835"/>
          <w:tab w:val="left" w:pos="2977"/>
        </w:tabs>
        <w:ind w:left="709" w:right="9" w:hanging="709"/>
        <w:jc w:val="both"/>
        <w:rPr>
          <w:rFonts w:ascii="Tms Rmn" w:hAnsi="Tms Rmn"/>
          <w:sz w:val="22"/>
        </w:rPr>
      </w:pPr>
    </w:p>
    <w:p w14:paraId="6FD24D08" w14:textId="77777777" w:rsidR="00DD068D" w:rsidRPr="00DE2909" w:rsidRDefault="00DD068D">
      <w:pPr>
        <w:pStyle w:val="BodyTextIndent2"/>
        <w:ind w:right="9" w:hanging="720"/>
        <w:rPr>
          <w:sz w:val="22"/>
          <w:szCs w:val="22"/>
        </w:rPr>
      </w:pPr>
      <w:r>
        <w:tab/>
      </w:r>
      <w:r w:rsidRPr="00DE2909">
        <w:rPr>
          <w:rFonts w:ascii="Arial" w:hAnsi="Arial"/>
          <w:sz w:val="22"/>
          <w:szCs w:val="22"/>
        </w:rPr>
        <w:t>SC is alert to the possibility that it may become the subject of an attempt to involve it in a transaction involving the laundering of money.  Accordingly, it will maintain procedures for verifying and recording the identity of counterparties and reporting suspicions, and will ensure that staff involved in this are properly trained. The present arrangements, including the name of the officer to whom reports should be made, are detailed in the schedule to this document</w:t>
      </w:r>
      <w:r w:rsidRPr="00DE2909">
        <w:rPr>
          <w:sz w:val="22"/>
          <w:szCs w:val="22"/>
        </w:rPr>
        <w:t>.”</w:t>
      </w:r>
    </w:p>
    <w:p w14:paraId="71E215ED" w14:textId="77777777" w:rsidR="00DD068D" w:rsidRPr="00DE2909" w:rsidRDefault="00DD068D">
      <w:pPr>
        <w:pStyle w:val="BodyTextIndent2"/>
        <w:ind w:right="9" w:hanging="720"/>
        <w:rPr>
          <w:sz w:val="22"/>
          <w:szCs w:val="22"/>
        </w:rPr>
      </w:pPr>
    </w:p>
    <w:p w14:paraId="09702634" w14:textId="77777777" w:rsidR="00DD068D" w:rsidRPr="00DE2909" w:rsidRDefault="00DD068D">
      <w:pPr>
        <w:pStyle w:val="BodyTextIndent2"/>
        <w:ind w:right="9" w:hanging="720"/>
        <w:rPr>
          <w:b/>
          <w:color w:val="FF0000"/>
          <w:sz w:val="22"/>
          <w:szCs w:val="22"/>
        </w:rPr>
      </w:pPr>
      <w:r w:rsidRPr="00DE2909">
        <w:rPr>
          <w:sz w:val="22"/>
          <w:szCs w:val="22"/>
        </w:rPr>
        <w:tab/>
      </w:r>
      <w:r w:rsidRPr="00DE2909">
        <w:rPr>
          <w:rFonts w:ascii="Arial" w:hAnsi="Arial"/>
          <w:b/>
          <w:sz w:val="22"/>
          <w:szCs w:val="22"/>
        </w:rPr>
        <w:t xml:space="preserve">In accordance with the Proceeds of Crime Act 2002 and the Money Laundering Regulations 2007, SC has adopted an Anti-Money Laundering Policy.  The officer nominated to receive disclosures about money laundering activity within the Council is Ceri Pilawski, Audit Service Manager. </w:t>
      </w:r>
    </w:p>
    <w:p w14:paraId="2E764B2B" w14:textId="77777777" w:rsidR="00DD068D" w:rsidRDefault="00DD068D">
      <w:pPr>
        <w:tabs>
          <w:tab w:val="left" w:pos="851"/>
          <w:tab w:val="left" w:pos="2127"/>
          <w:tab w:val="left" w:pos="2835"/>
          <w:tab w:val="left" w:pos="2977"/>
        </w:tabs>
        <w:ind w:left="709" w:right="9" w:hanging="709"/>
        <w:jc w:val="both"/>
        <w:rPr>
          <w:rFonts w:ascii="Tms Rmn" w:hAnsi="Tms Rmn"/>
          <w:sz w:val="22"/>
        </w:rPr>
      </w:pPr>
    </w:p>
    <w:p w14:paraId="0B2E85E5" w14:textId="77777777" w:rsidR="00DD068D" w:rsidRDefault="00DD068D">
      <w:pPr>
        <w:ind w:left="709" w:right="9" w:hanging="709"/>
        <w:jc w:val="both"/>
        <w:rPr>
          <w:rFonts w:ascii="Arial" w:hAnsi="Arial"/>
          <w:b/>
          <w:sz w:val="22"/>
        </w:rPr>
      </w:pPr>
      <w:r>
        <w:rPr>
          <w:rFonts w:ascii="Arial" w:hAnsi="Arial"/>
          <w:b/>
          <w:sz w:val="22"/>
        </w:rPr>
        <w:t>TMP10 TRAINING AND QUALIFICATIONS</w:t>
      </w:r>
    </w:p>
    <w:p w14:paraId="12D34A6E" w14:textId="77777777" w:rsidR="00DD068D" w:rsidRDefault="00DD068D">
      <w:pPr>
        <w:tabs>
          <w:tab w:val="left" w:pos="851"/>
          <w:tab w:val="left" w:pos="2127"/>
          <w:tab w:val="left" w:pos="2835"/>
          <w:tab w:val="left" w:pos="2977"/>
        </w:tabs>
        <w:ind w:left="709" w:right="9" w:hanging="709"/>
        <w:jc w:val="both"/>
        <w:rPr>
          <w:rFonts w:ascii="Arial" w:hAnsi="Arial"/>
          <w:sz w:val="22"/>
        </w:rPr>
      </w:pPr>
    </w:p>
    <w:p w14:paraId="4EDB2631" w14:textId="77777777" w:rsidR="00DD068D" w:rsidRPr="00DE2909" w:rsidRDefault="00DD068D">
      <w:pPr>
        <w:pStyle w:val="BodyTextIndent2"/>
        <w:ind w:right="9" w:hanging="720"/>
        <w:rPr>
          <w:rFonts w:ascii="Arial" w:hAnsi="Arial"/>
          <w:sz w:val="22"/>
          <w:szCs w:val="22"/>
        </w:rPr>
      </w:pPr>
      <w:r>
        <w:tab/>
      </w:r>
      <w:r w:rsidRPr="00DE2909">
        <w:rPr>
          <w:rFonts w:ascii="Arial" w:hAnsi="Arial"/>
          <w:sz w:val="22"/>
          <w:szCs w:val="22"/>
        </w:rPr>
        <w:t xml:space="preserve">SC recognises the importance of ensuring that all staff involved in the treasury management function are fully equipped to undertake the duties and responsibilities allocated to them.  It will therefore seek to appoint individuals who are both capable and experienced and will provide training for staff to enable them to acquire and maintain an appropriate level of expertise, knowledge and skills.  The Head of Treasury and Pensions will recommend and implement the necessary arrangements. </w:t>
      </w:r>
    </w:p>
    <w:p w14:paraId="48550389" w14:textId="77777777" w:rsidR="00DD068D" w:rsidRPr="00DE2909" w:rsidRDefault="00DD068D">
      <w:pPr>
        <w:pStyle w:val="BodyTextIndent2"/>
        <w:ind w:right="9" w:hanging="720"/>
        <w:rPr>
          <w:rFonts w:ascii="Arial" w:hAnsi="Arial"/>
          <w:sz w:val="22"/>
          <w:szCs w:val="22"/>
        </w:rPr>
      </w:pPr>
    </w:p>
    <w:p w14:paraId="00758187" w14:textId="77777777" w:rsidR="00DD068D" w:rsidRPr="00DE2909" w:rsidRDefault="00DD068D">
      <w:pPr>
        <w:pStyle w:val="BodyTextIndent2"/>
        <w:ind w:right="9" w:hanging="720"/>
        <w:rPr>
          <w:rFonts w:ascii="Arial" w:hAnsi="Arial"/>
          <w:sz w:val="22"/>
          <w:szCs w:val="22"/>
        </w:rPr>
      </w:pPr>
      <w:r w:rsidRPr="00DE2909">
        <w:rPr>
          <w:rFonts w:ascii="Arial" w:hAnsi="Arial"/>
          <w:sz w:val="22"/>
          <w:szCs w:val="22"/>
        </w:rPr>
        <w:tab/>
        <w:t>The Head of Finance, Governance &amp; Assurance (s151 Officer) will ensure that council members tasked with treasury management responsibilities, including those responsible for scrutiny, have access to training relevant to their needs and responsibilities.</w:t>
      </w:r>
    </w:p>
    <w:p w14:paraId="36F6DAF4" w14:textId="77777777" w:rsidR="00DD068D" w:rsidRPr="00DE2909" w:rsidRDefault="00DD068D">
      <w:pPr>
        <w:pStyle w:val="BodyTextIndent2"/>
        <w:ind w:right="9" w:hanging="720"/>
        <w:rPr>
          <w:rFonts w:ascii="Arial" w:hAnsi="Arial"/>
          <w:sz w:val="22"/>
          <w:szCs w:val="22"/>
        </w:rPr>
      </w:pPr>
    </w:p>
    <w:p w14:paraId="373AA459" w14:textId="77777777" w:rsidR="00DD068D" w:rsidRPr="00DE2909" w:rsidRDefault="00DD068D">
      <w:pPr>
        <w:pStyle w:val="BodyTextIndent2"/>
        <w:ind w:right="9" w:hanging="720"/>
        <w:rPr>
          <w:rFonts w:ascii="Arial" w:hAnsi="Arial"/>
          <w:sz w:val="22"/>
          <w:szCs w:val="22"/>
        </w:rPr>
      </w:pPr>
      <w:r w:rsidRPr="00DE2909">
        <w:rPr>
          <w:rFonts w:ascii="Arial" w:hAnsi="Arial"/>
          <w:sz w:val="22"/>
          <w:szCs w:val="22"/>
        </w:rPr>
        <w:tab/>
        <w:t>Those charged with governance recognise their individual responsibility to ensure that they have the necessary skills to complete their role effectively.</w:t>
      </w:r>
    </w:p>
    <w:p w14:paraId="5FBFCA3D" w14:textId="77777777" w:rsidR="00DD068D" w:rsidRDefault="00DD068D">
      <w:pPr>
        <w:pStyle w:val="BodyTextIndent2"/>
        <w:ind w:right="9" w:hanging="720"/>
        <w:rPr>
          <w:rFonts w:ascii="Arial" w:hAnsi="Arial"/>
        </w:rPr>
      </w:pPr>
    </w:p>
    <w:p w14:paraId="5BBE732E" w14:textId="77777777" w:rsidR="00DD068D" w:rsidRPr="00DE2909" w:rsidRDefault="00DD068D" w:rsidP="00D96650">
      <w:pPr>
        <w:pStyle w:val="BodyTextIndent2"/>
        <w:ind w:right="9" w:hanging="14"/>
        <w:rPr>
          <w:rFonts w:ascii="Arial" w:hAnsi="Arial"/>
          <w:sz w:val="22"/>
          <w:szCs w:val="22"/>
        </w:rPr>
      </w:pPr>
      <w:r w:rsidRPr="00DE2909">
        <w:rPr>
          <w:rFonts w:ascii="Arial" w:hAnsi="Arial"/>
          <w:sz w:val="22"/>
          <w:szCs w:val="22"/>
        </w:rPr>
        <w:t>The present arrangements are detailed in the schedule to this document.</w:t>
      </w:r>
    </w:p>
    <w:p w14:paraId="48354F82" w14:textId="77777777" w:rsidR="00DD068D" w:rsidRDefault="00DD068D">
      <w:pPr>
        <w:tabs>
          <w:tab w:val="left" w:pos="851"/>
          <w:tab w:val="left" w:pos="2127"/>
          <w:tab w:val="left" w:pos="2835"/>
          <w:tab w:val="left" w:pos="2977"/>
        </w:tabs>
        <w:ind w:left="709" w:right="9" w:hanging="709"/>
        <w:jc w:val="both"/>
        <w:rPr>
          <w:rFonts w:ascii="Arial" w:hAnsi="Arial"/>
          <w:sz w:val="22"/>
        </w:rPr>
      </w:pPr>
    </w:p>
    <w:p w14:paraId="40380D29" w14:textId="77777777" w:rsidR="00DD068D" w:rsidRDefault="00DD068D">
      <w:pPr>
        <w:ind w:left="706" w:right="14" w:hanging="706"/>
        <w:jc w:val="both"/>
        <w:rPr>
          <w:rFonts w:ascii="Arial" w:hAnsi="Arial"/>
          <w:b/>
          <w:sz w:val="22"/>
        </w:rPr>
      </w:pPr>
      <w:r>
        <w:rPr>
          <w:rFonts w:ascii="Arial" w:hAnsi="Arial"/>
          <w:b/>
          <w:sz w:val="22"/>
        </w:rPr>
        <w:t>TMP11 USE OF EXTERNAL SERVICE PROVIDERS</w:t>
      </w:r>
    </w:p>
    <w:p w14:paraId="415DBD0E" w14:textId="77777777" w:rsidR="00DD068D" w:rsidRDefault="00DD068D">
      <w:pPr>
        <w:tabs>
          <w:tab w:val="left" w:pos="851"/>
          <w:tab w:val="left" w:pos="2127"/>
          <w:tab w:val="left" w:pos="2835"/>
          <w:tab w:val="left" w:pos="2977"/>
        </w:tabs>
        <w:ind w:right="9"/>
        <w:jc w:val="both"/>
        <w:rPr>
          <w:rFonts w:ascii="Arial" w:hAnsi="Arial"/>
          <w:sz w:val="22"/>
        </w:rPr>
      </w:pPr>
    </w:p>
    <w:p w14:paraId="442A8FC9" w14:textId="77777777" w:rsidR="00DD068D" w:rsidRPr="00DE2909" w:rsidRDefault="00DD068D">
      <w:pPr>
        <w:pStyle w:val="BodyTextIndent2"/>
        <w:ind w:left="731" w:right="9" w:hanging="731"/>
        <w:rPr>
          <w:rFonts w:ascii="Arial" w:hAnsi="Arial"/>
          <w:sz w:val="22"/>
          <w:szCs w:val="22"/>
        </w:rPr>
      </w:pPr>
      <w:r>
        <w:rPr>
          <w:rFonts w:ascii="Arial" w:hAnsi="Arial"/>
        </w:rPr>
        <w:tab/>
      </w:r>
      <w:r w:rsidRPr="00DE2909">
        <w:rPr>
          <w:rFonts w:ascii="Arial" w:hAnsi="Arial"/>
          <w:sz w:val="22"/>
          <w:szCs w:val="22"/>
        </w:rPr>
        <w:t xml:space="preserve">SC recognises that responsibility for treasury management decisions remains with the organisation at all times.  SC also recognises the potential value of employing external providers of treasury management services, in order to acquire access to specialist skills and resources.  When it employs such service providers, it will ensure it does so for reasons which will have been submitted to full evaluation of the costs and benefits.  It will also ensure that the terms of their appointment and the methods by which their value will be assessed are properly agreed and documented, and subjected to regular review.  And it will ensure, where feasible and necessary, that a spread of service providers is used, to avoid over-reliance on one or a small number of companies.  Where services are subject to formal tender or re-tender arrangements, legislative requirements will always be observed.  The monitoring of such arrangements rests with the Head of Treasury and Pensions, and details of the current arrangements are set out in the schedule to this document. </w:t>
      </w:r>
    </w:p>
    <w:p w14:paraId="2FDAF9B9" w14:textId="77777777" w:rsidR="00DD068D" w:rsidRDefault="00DD068D">
      <w:pPr>
        <w:pStyle w:val="BodyTextIndent2"/>
        <w:ind w:left="0" w:right="9"/>
      </w:pPr>
    </w:p>
    <w:p w14:paraId="7EAAF0AA" w14:textId="77777777" w:rsidR="00DD068D" w:rsidRDefault="00DD068D">
      <w:pPr>
        <w:ind w:left="709" w:right="9" w:hanging="709"/>
        <w:jc w:val="both"/>
        <w:rPr>
          <w:rFonts w:ascii="Arial" w:hAnsi="Arial"/>
          <w:b/>
          <w:sz w:val="22"/>
        </w:rPr>
      </w:pPr>
      <w:r>
        <w:rPr>
          <w:rFonts w:ascii="Arial" w:hAnsi="Arial"/>
          <w:b/>
          <w:sz w:val="22"/>
        </w:rPr>
        <w:t xml:space="preserve">TMP12 CORPORATE GOVERNANCE  </w:t>
      </w:r>
    </w:p>
    <w:p w14:paraId="7EDFAE61" w14:textId="77777777" w:rsidR="00DD068D" w:rsidRDefault="00DD068D">
      <w:pPr>
        <w:tabs>
          <w:tab w:val="left" w:pos="851"/>
          <w:tab w:val="left" w:pos="2127"/>
          <w:tab w:val="left" w:pos="2835"/>
          <w:tab w:val="left" w:pos="2977"/>
        </w:tabs>
        <w:ind w:left="709" w:right="9" w:hanging="709"/>
        <w:jc w:val="both"/>
        <w:rPr>
          <w:rFonts w:ascii="Arial" w:hAnsi="Arial"/>
          <w:sz w:val="22"/>
        </w:rPr>
      </w:pPr>
    </w:p>
    <w:p w14:paraId="6631AC8F" w14:textId="77777777" w:rsidR="00DD068D" w:rsidRPr="00DE2909" w:rsidRDefault="00DD068D">
      <w:pPr>
        <w:pStyle w:val="BodyTextIndent2"/>
        <w:ind w:right="9"/>
        <w:rPr>
          <w:rFonts w:ascii="Arial" w:hAnsi="Arial"/>
          <w:sz w:val="22"/>
          <w:szCs w:val="22"/>
        </w:rPr>
      </w:pPr>
      <w:r w:rsidRPr="00DE2909">
        <w:rPr>
          <w:rFonts w:ascii="Arial" w:hAnsi="Arial"/>
          <w:sz w:val="22"/>
          <w:szCs w:val="22"/>
        </w:rPr>
        <w:t>SC is committed to the pursuit of proper corporate governance throughout its businesses and services, and to establishing the principles and practices by which this can be achieved.  Accordingly, the treasury management function and its activities will be undertaken with openness and transparency, honesty, integrity and accountability.</w:t>
      </w:r>
    </w:p>
    <w:p w14:paraId="1AB5C464" w14:textId="77777777" w:rsidR="00DD068D" w:rsidRPr="00DE2909" w:rsidRDefault="00DD068D">
      <w:pPr>
        <w:pStyle w:val="BodyTextIndent2"/>
        <w:ind w:left="0" w:right="9"/>
        <w:rPr>
          <w:rFonts w:ascii="Arial" w:hAnsi="Arial"/>
          <w:sz w:val="22"/>
          <w:szCs w:val="22"/>
        </w:rPr>
      </w:pPr>
    </w:p>
    <w:p w14:paraId="4A3BED05" w14:textId="77777777" w:rsidR="00DD068D" w:rsidRPr="00DE2909" w:rsidRDefault="00DD068D">
      <w:pPr>
        <w:pStyle w:val="BodyTextIndent2"/>
        <w:ind w:right="9"/>
        <w:rPr>
          <w:rFonts w:ascii="Arial" w:hAnsi="Arial"/>
          <w:sz w:val="22"/>
          <w:szCs w:val="22"/>
        </w:rPr>
      </w:pPr>
      <w:r w:rsidRPr="00DE2909">
        <w:rPr>
          <w:rFonts w:ascii="Arial" w:hAnsi="Arial"/>
          <w:sz w:val="22"/>
          <w:szCs w:val="22"/>
        </w:rPr>
        <w:t xml:space="preserve">SC has adopted and has implemented the key recommendations of the Code.  This, together with the other arrangements detailed in the schedule to this document, are considered vital to the achievement of proper corporate governance in treasury management, and the Head of Treasury and Pensions will monitor and, if and when necessary, report upon the effectiveness of these arrangements. </w:t>
      </w:r>
    </w:p>
    <w:p w14:paraId="7800B799" w14:textId="77777777" w:rsidR="00DD068D" w:rsidRPr="00DE2909" w:rsidRDefault="00DD068D">
      <w:pPr>
        <w:pStyle w:val="BodyTextIndent2"/>
        <w:ind w:right="9"/>
        <w:rPr>
          <w:rFonts w:ascii="Arial" w:hAnsi="Arial"/>
          <w:sz w:val="22"/>
          <w:szCs w:val="22"/>
        </w:rPr>
      </w:pPr>
    </w:p>
    <w:p w14:paraId="4E90602B" w14:textId="77777777" w:rsidR="00DD068D" w:rsidRPr="00DE2909" w:rsidRDefault="00DD068D">
      <w:pPr>
        <w:pStyle w:val="BodyTextIndent2"/>
        <w:ind w:right="9"/>
        <w:rPr>
          <w:rFonts w:ascii="Arial" w:hAnsi="Arial"/>
          <w:sz w:val="22"/>
          <w:szCs w:val="22"/>
        </w:rPr>
      </w:pPr>
      <w:r w:rsidRPr="00DE2909">
        <w:rPr>
          <w:rFonts w:ascii="Arial" w:hAnsi="Arial"/>
          <w:sz w:val="22"/>
          <w:szCs w:val="22"/>
        </w:rPr>
        <w:t xml:space="preserve">The Council is required under Regulation 4 of the Accounts and Audit Regulations 2003 to be responsible for ensuring that the financial management of the organisation is adequate and effective and has a sound system of internal control which facilitates the effective exercise of the Council’s functions, including arrangements for the management of risk.  SC carries out an annual review of the effectiveness of its system of internal control and produces a statement on internal control, prepared in accordance with proper practices, within the annual statement of accounts.  </w:t>
      </w:r>
    </w:p>
    <w:p w14:paraId="13C62791" w14:textId="77777777" w:rsidR="00DD068D" w:rsidRDefault="00DD068D">
      <w:pPr>
        <w:spacing w:line="240" w:lineRule="exact"/>
        <w:ind w:right="9"/>
        <w:jc w:val="both"/>
        <w:rPr>
          <w:rFonts w:ascii="Tms Rmn" w:hAnsi="Tms Rmn"/>
          <w:sz w:val="22"/>
        </w:rPr>
      </w:pPr>
    </w:p>
    <w:p w14:paraId="14567C79" w14:textId="108F8AAA" w:rsidR="00DD068D" w:rsidRPr="00975365" w:rsidRDefault="00DD068D" w:rsidP="00C3700F">
      <w:pPr>
        <w:widowControl w:val="0"/>
        <w:rPr>
          <w:rFonts w:ascii="Arial" w:hAnsi="Arial" w:cs="Arial"/>
          <w:snapToGrid w:val="0"/>
          <w:lang w:eastAsia="en-US"/>
        </w:rPr>
      </w:pPr>
    </w:p>
    <w:sectPr w:rsidR="00DD068D" w:rsidRPr="00975365" w:rsidSect="005523B2">
      <w:headerReference w:type="first" r:id="rId18"/>
      <w:pgSz w:w="11907" w:h="16840" w:code="9"/>
      <w:pgMar w:top="1440" w:right="1440" w:bottom="1440" w:left="1440" w:header="28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716CD" w14:textId="77777777" w:rsidR="00125C21" w:rsidRDefault="00125C21">
      <w:r>
        <w:separator/>
      </w:r>
    </w:p>
  </w:endnote>
  <w:endnote w:type="continuationSeparator" w:id="0">
    <w:p w14:paraId="201716CE" w14:textId="77777777" w:rsidR="00125C21" w:rsidRDefault="0012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s Gothic MT">
    <w:altName w:val="Lucida Sans Unicode"/>
    <w:charset w:val="00"/>
    <w:family w:val="swiss"/>
    <w:pitch w:val="variable"/>
    <w:sig w:usb0="00000007" w:usb1="00000000" w:usb2="00000000" w:usb3="00000000" w:csb0="00000013"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8" w:type="dxa"/>
      <w:tblLook w:val="01E0" w:firstRow="1" w:lastRow="1" w:firstColumn="1" w:lastColumn="1" w:noHBand="0" w:noVBand="0"/>
    </w:tblPr>
    <w:tblGrid>
      <w:gridCol w:w="3190"/>
      <w:gridCol w:w="3190"/>
      <w:gridCol w:w="2728"/>
    </w:tblGrid>
    <w:tr w:rsidR="00C52185" w:rsidRPr="00271BCC" w14:paraId="201716D3" w14:textId="77777777" w:rsidTr="001172EF">
      <w:tc>
        <w:tcPr>
          <w:tcW w:w="3190" w:type="dxa"/>
          <w:vAlign w:val="bottom"/>
        </w:tcPr>
        <w:p w14:paraId="201716D0" w14:textId="77777777" w:rsidR="00C52185" w:rsidRDefault="00C52185" w:rsidP="00C52185">
          <w:pPr>
            <w:pStyle w:val="Footer"/>
            <w:rPr>
              <w:lang w:eastAsia="en-US"/>
            </w:rPr>
          </w:pPr>
          <w:r>
            <w:rPr>
              <w:noProof/>
            </w:rPr>
            <w:drawing>
              <wp:inline distT="0" distB="0" distL="0" distR="0" wp14:anchorId="201716DB" wp14:editId="201716DC">
                <wp:extent cx="1419225" cy="428625"/>
                <wp:effectExtent l="0" t="0" r="9525" b="9525"/>
                <wp:docPr id="4" name="Picture 4"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201716D1" w14:textId="77777777" w:rsidR="00C52185" w:rsidRPr="00271BCC" w:rsidRDefault="00C52185" w:rsidP="00C52185">
          <w:pPr>
            <w:pStyle w:val="Footer"/>
            <w:jc w:val="center"/>
            <w:rPr>
              <w:rFonts w:ascii="Arial" w:hAnsi="Arial" w:cs="Arial"/>
              <w:sz w:val="20"/>
              <w:lang w:eastAsia="en-US"/>
            </w:rPr>
          </w:pPr>
          <w:r w:rsidRPr="00271BCC">
            <w:rPr>
              <w:rStyle w:val="PageNumber"/>
              <w:rFonts w:ascii="Arial" w:hAnsi="Arial" w:cs="Arial"/>
              <w:sz w:val="20"/>
              <w:lang w:eastAsia="en-US"/>
            </w:rPr>
            <w:fldChar w:fldCharType="begin"/>
          </w:r>
          <w:r w:rsidRPr="00271BCC">
            <w:rPr>
              <w:rStyle w:val="PageNumber"/>
              <w:rFonts w:ascii="Arial" w:hAnsi="Arial" w:cs="Arial"/>
              <w:sz w:val="20"/>
              <w:lang w:eastAsia="en-US"/>
            </w:rPr>
            <w:instrText xml:space="preserve"> PAGE </w:instrText>
          </w:r>
          <w:r w:rsidRPr="00271BCC">
            <w:rPr>
              <w:rStyle w:val="PageNumber"/>
              <w:rFonts w:ascii="Arial" w:hAnsi="Arial" w:cs="Arial"/>
              <w:sz w:val="20"/>
              <w:lang w:eastAsia="en-US"/>
            </w:rPr>
            <w:fldChar w:fldCharType="separate"/>
          </w:r>
          <w:r w:rsidR="00DE2909">
            <w:rPr>
              <w:rStyle w:val="PageNumber"/>
              <w:rFonts w:ascii="Arial" w:hAnsi="Arial" w:cs="Arial"/>
              <w:noProof/>
              <w:sz w:val="20"/>
              <w:lang w:eastAsia="en-US"/>
            </w:rPr>
            <w:t>2</w:t>
          </w:r>
          <w:r w:rsidRPr="00271BCC">
            <w:rPr>
              <w:rStyle w:val="PageNumber"/>
              <w:rFonts w:ascii="Arial" w:hAnsi="Arial" w:cs="Arial"/>
              <w:sz w:val="20"/>
              <w:lang w:eastAsia="en-US"/>
            </w:rPr>
            <w:fldChar w:fldCharType="end"/>
          </w:r>
        </w:p>
      </w:tc>
      <w:tc>
        <w:tcPr>
          <w:tcW w:w="2728" w:type="dxa"/>
          <w:vAlign w:val="bottom"/>
        </w:tcPr>
        <w:p w14:paraId="201716D2" w14:textId="6A1991AD" w:rsidR="00C52185" w:rsidRPr="00271BCC" w:rsidRDefault="00C52185" w:rsidP="00973CB6">
          <w:pPr>
            <w:pStyle w:val="Footer"/>
            <w:jc w:val="right"/>
            <w:rPr>
              <w:rFonts w:ascii="Arial" w:hAnsi="Arial" w:cs="Arial"/>
              <w:sz w:val="20"/>
              <w:lang w:eastAsia="en-US"/>
            </w:rPr>
          </w:pPr>
          <w:r w:rsidRPr="00271BCC">
            <w:rPr>
              <w:rFonts w:ascii="Arial" w:hAnsi="Arial" w:cs="Arial"/>
              <w:sz w:val="20"/>
              <w:lang w:eastAsia="en-US"/>
            </w:rPr>
            <w:t>S&amp;R</w:t>
          </w:r>
          <w:r w:rsidR="008B2D2D">
            <w:rPr>
              <w:rFonts w:ascii="Arial" w:hAnsi="Arial" w:cs="Arial"/>
              <w:sz w:val="20"/>
              <w:lang w:eastAsia="en-US"/>
            </w:rPr>
            <w:t xml:space="preserve"> </w:t>
          </w:r>
          <w:r w:rsidR="00973CB6">
            <w:rPr>
              <w:rFonts w:ascii="Arial" w:hAnsi="Arial" w:cs="Arial"/>
              <w:sz w:val="20"/>
              <w:lang w:eastAsia="en-US"/>
            </w:rPr>
            <w:t>05.02.15</w:t>
          </w:r>
        </w:p>
      </w:tc>
    </w:tr>
  </w:tbl>
  <w:p w14:paraId="201716D4" w14:textId="77777777" w:rsidR="00C52185" w:rsidRDefault="00C521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8" w:type="dxa"/>
      <w:tblLook w:val="01E0" w:firstRow="1" w:lastRow="1" w:firstColumn="1" w:lastColumn="1" w:noHBand="0" w:noVBand="0"/>
    </w:tblPr>
    <w:tblGrid>
      <w:gridCol w:w="3190"/>
      <w:gridCol w:w="3190"/>
      <w:gridCol w:w="2728"/>
    </w:tblGrid>
    <w:tr w:rsidR="00C52185" w:rsidRPr="00271BCC" w14:paraId="201716D9" w14:textId="77777777" w:rsidTr="001172EF">
      <w:tc>
        <w:tcPr>
          <w:tcW w:w="3190" w:type="dxa"/>
          <w:vAlign w:val="bottom"/>
        </w:tcPr>
        <w:p w14:paraId="201716D6" w14:textId="77777777" w:rsidR="00C52185" w:rsidRDefault="00C52185" w:rsidP="00C52185">
          <w:pPr>
            <w:pStyle w:val="Footer"/>
            <w:rPr>
              <w:lang w:eastAsia="en-US"/>
            </w:rPr>
          </w:pPr>
          <w:r>
            <w:rPr>
              <w:noProof/>
            </w:rPr>
            <w:drawing>
              <wp:inline distT="0" distB="0" distL="0" distR="0" wp14:anchorId="201716DD" wp14:editId="201716DE">
                <wp:extent cx="1419225" cy="428625"/>
                <wp:effectExtent l="0" t="0" r="9525" b="9525"/>
                <wp:docPr id="3" name="Picture 3"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201716D7" w14:textId="77777777" w:rsidR="00C52185" w:rsidRPr="00271BCC" w:rsidRDefault="00C52185" w:rsidP="00C52185">
          <w:pPr>
            <w:pStyle w:val="Footer"/>
            <w:jc w:val="center"/>
            <w:rPr>
              <w:rFonts w:ascii="Arial" w:hAnsi="Arial" w:cs="Arial"/>
              <w:sz w:val="20"/>
              <w:lang w:eastAsia="en-US"/>
            </w:rPr>
          </w:pPr>
          <w:r w:rsidRPr="00271BCC">
            <w:rPr>
              <w:rStyle w:val="PageNumber"/>
              <w:rFonts w:ascii="Arial" w:hAnsi="Arial" w:cs="Arial"/>
              <w:sz w:val="20"/>
              <w:lang w:eastAsia="en-US"/>
            </w:rPr>
            <w:fldChar w:fldCharType="begin"/>
          </w:r>
          <w:r w:rsidRPr="00271BCC">
            <w:rPr>
              <w:rStyle w:val="PageNumber"/>
              <w:rFonts w:ascii="Arial" w:hAnsi="Arial" w:cs="Arial"/>
              <w:sz w:val="20"/>
              <w:lang w:eastAsia="en-US"/>
            </w:rPr>
            <w:instrText xml:space="preserve"> PAGE </w:instrText>
          </w:r>
          <w:r w:rsidRPr="00271BCC">
            <w:rPr>
              <w:rStyle w:val="PageNumber"/>
              <w:rFonts w:ascii="Arial" w:hAnsi="Arial" w:cs="Arial"/>
              <w:sz w:val="20"/>
              <w:lang w:eastAsia="en-US"/>
            </w:rPr>
            <w:fldChar w:fldCharType="separate"/>
          </w:r>
          <w:r w:rsidR="00DE2909">
            <w:rPr>
              <w:rStyle w:val="PageNumber"/>
              <w:rFonts w:ascii="Arial" w:hAnsi="Arial" w:cs="Arial"/>
              <w:noProof/>
              <w:sz w:val="20"/>
              <w:lang w:eastAsia="en-US"/>
            </w:rPr>
            <w:t>1</w:t>
          </w:r>
          <w:r w:rsidRPr="00271BCC">
            <w:rPr>
              <w:rStyle w:val="PageNumber"/>
              <w:rFonts w:ascii="Arial" w:hAnsi="Arial" w:cs="Arial"/>
              <w:sz w:val="20"/>
              <w:lang w:eastAsia="en-US"/>
            </w:rPr>
            <w:fldChar w:fldCharType="end"/>
          </w:r>
        </w:p>
      </w:tc>
      <w:tc>
        <w:tcPr>
          <w:tcW w:w="2728" w:type="dxa"/>
          <w:vAlign w:val="bottom"/>
        </w:tcPr>
        <w:p w14:paraId="201716D8" w14:textId="651ADD63" w:rsidR="00C52185" w:rsidRPr="00271BCC" w:rsidRDefault="00C52185" w:rsidP="00973CB6">
          <w:pPr>
            <w:pStyle w:val="Footer"/>
            <w:jc w:val="right"/>
            <w:rPr>
              <w:rFonts w:ascii="Arial" w:hAnsi="Arial" w:cs="Arial"/>
              <w:sz w:val="20"/>
              <w:lang w:eastAsia="en-US"/>
            </w:rPr>
          </w:pPr>
          <w:r w:rsidRPr="00271BCC">
            <w:rPr>
              <w:rFonts w:ascii="Arial" w:hAnsi="Arial" w:cs="Arial"/>
              <w:sz w:val="20"/>
              <w:lang w:eastAsia="en-US"/>
            </w:rPr>
            <w:t>S&amp;R</w:t>
          </w:r>
          <w:r w:rsidR="008B2D2D">
            <w:rPr>
              <w:rFonts w:ascii="Arial" w:hAnsi="Arial" w:cs="Arial"/>
              <w:sz w:val="20"/>
              <w:lang w:eastAsia="en-US"/>
            </w:rPr>
            <w:t xml:space="preserve"> </w:t>
          </w:r>
          <w:r w:rsidR="00973CB6">
            <w:rPr>
              <w:rFonts w:ascii="Arial" w:hAnsi="Arial" w:cs="Arial"/>
              <w:sz w:val="20"/>
              <w:lang w:eastAsia="en-US"/>
            </w:rPr>
            <w:t>05.02.15</w:t>
          </w:r>
        </w:p>
      </w:tc>
    </w:tr>
  </w:tbl>
  <w:p w14:paraId="201716DA" w14:textId="77777777" w:rsidR="00C52185" w:rsidRDefault="00C52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716CB" w14:textId="77777777" w:rsidR="00125C21" w:rsidRDefault="00125C21">
      <w:r>
        <w:separator/>
      </w:r>
    </w:p>
  </w:footnote>
  <w:footnote w:type="continuationSeparator" w:id="0">
    <w:p w14:paraId="201716CC" w14:textId="77777777" w:rsidR="00125C21" w:rsidRDefault="00125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16CF" w14:textId="77777777" w:rsidR="00F85179" w:rsidRDefault="00DE2909" w:rsidP="00F8517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16D5" w14:textId="734BB505" w:rsidR="000D4EEB" w:rsidRPr="00C52185" w:rsidRDefault="00905D4C" w:rsidP="00C52185">
    <w:pPr>
      <w:pStyle w:val="Header"/>
      <w:jc w:val="right"/>
      <w:rPr>
        <w:rFonts w:ascii="Arial" w:hAnsi="Arial" w:cs="Arial"/>
        <w:b/>
        <w:sz w:val="144"/>
        <w:szCs w:val="144"/>
      </w:rPr>
    </w:pPr>
    <w:r>
      <w:rPr>
        <w:rFonts w:ascii="Arial" w:hAnsi="Arial" w:cs="Arial"/>
        <w:b/>
        <w:sz w:val="144"/>
        <w:szCs w:val="14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7558C" w14:textId="77777777" w:rsidR="00DD068D" w:rsidRPr="00E616DA" w:rsidRDefault="00DD068D" w:rsidP="00DD068D">
    <w:pPr>
      <w:pStyle w:val="Header"/>
      <w:jc w:val="right"/>
      <w:rPr>
        <w:rFonts w:ascii="Arial" w:hAnsi="Arial" w:cs="Arial"/>
        <w:sz w:val="22"/>
        <w:szCs w:val="22"/>
      </w:rPr>
    </w:pPr>
    <w:r w:rsidRPr="00E616DA">
      <w:rPr>
        <w:rFonts w:ascii="Arial" w:hAnsi="Arial" w:cs="Arial"/>
        <w:b/>
        <w:sz w:val="22"/>
        <w:szCs w:val="22"/>
      </w:rPr>
      <w:t>Appendix B</w:t>
    </w:r>
    <w:r w:rsidRPr="00E616DA">
      <w:rPr>
        <w:rFonts w:ascii="Arial" w:hAnsi="Arial" w:cs="Arial"/>
        <w:sz w:val="22"/>
        <w:szCs w:val="22"/>
      </w:rPr>
      <w:t xml:space="preserve"> to report on</w:t>
    </w:r>
  </w:p>
  <w:p w14:paraId="12F9B22E" w14:textId="77777777" w:rsidR="00DD068D" w:rsidRPr="00E616DA" w:rsidRDefault="00DD068D" w:rsidP="00DD068D">
    <w:pPr>
      <w:pStyle w:val="Header"/>
      <w:jc w:val="right"/>
      <w:rPr>
        <w:rFonts w:ascii="Arial" w:hAnsi="Arial" w:cs="Arial"/>
        <w:sz w:val="22"/>
        <w:szCs w:val="22"/>
      </w:rPr>
    </w:pPr>
    <w:r w:rsidRPr="00E616DA">
      <w:rPr>
        <w:rFonts w:ascii="Arial" w:hAnsi="Arial" w:cs="Arial"/>
        <w:sz w:val="22"/>
        <w:szCs w:val="22"/>
      </w:rPr>
      <w:t xml:space="preserve">Capital Programmes 2015/16 to 2019/20 and </w:t>
    </w:r>
  </w:p>
  <w:p w14:paraId="10354BC8" w14:textId="77777777" w:rsidR="00DD068D" w:rsidRPr="00E616DA" w:rsidRDefault="00DD068D" w:rsidP="00DD068D">
    <w:pPr>
      <w:pStyle w:val="Header"/>
      <w:jc w:val="right"/>
      <w:rPr>
        <w:rFonts w:ascii="Arial" w:hAnsi="Arial" w:cs="Arial"/>
        <w:sz w:val="22"/>
        <w:szCs w:val="22"/>
      </w:rPr>
    </w:pPr>
    <w:r w:rsidRPr="00E616DA">
      <w:rPr>
        <w:rFonts w:ascii="Arial" w:hAnsi="Arial" w:cs="Arial"/>
        <w:sz w:val="22"/>
        <w:szCs w:val="22"/>
      </w:rPr>
      <w:t>Prudential Guidelines</w:t>
    </w:r>
  </w:p>
  <w:p w14:paraId="67A8EC8E" w14:textId="77777777" w:rsidR="00DD068D" w:rsidRPr="00E616DA" w:rsidRDefault="00DD068D" w:rsidP="00DD068D">
    <w:pPr>
      <w:pStyle w:val="Header"/>
      <w:jc w:val="right"/>
      <w:rPr>
        <w:rFonts w:ascii="Arial" w:hAnsi="Arial" w:cs="Arial"/>
        <w:sz w:val="22"/>
        <w:szCs w:val="22"/>
      </w:rPr>
    </w:pPr>
    <w:r w:rsidRPr="00E616DA">
      <w:rPr>
        <w:rFonts w:ascii="Arial" w:hAnsi="Arial" w:cs="Arial"/>
        <w:sz w:val="22"/>
        <w:szCs w:val="22"/>
      </w:rPr>
      <w:t>Shropshire and Wrekin Fire and Rescue Authority</w:t>
    </w:r>
  </w:p>
  <w:p w14:paraId="5687E691" w14:textId="77777777" w:rsidR="00DD068D" w:rsidRPr="00E616DA" w:rsidRDefault="00DD068D" w:rsidP="00DD068D">
    <w:pPr>
      <w:pStyle w:val="Header"/>
      <w:jc w:val="right"/>
      <w:rPr>
        <w:rFonts w:ascii="Arial" w:hAnsi="Arial" w:cs="Arial"/>
        <w:sz w:val="22"/>
        <w:szCs w:val="22"/>
      </w:rPr>
    </w:pPr>
    <w:r w:rsidRPr="00E616DA">
      <w:rPr>
        <w:rFonts w:ascii="Arial" w:hAnsi="Arial" w:cs="Arial"/>
        <w:sz w:val="22"/>
        <w:szCs w:val="22"/>
      </w:rPr>
      <w:t>Strategy and Resources Committee</w:t>
    </w:r>
  </w:p>
  <w:p w14:paraId="5D0AD078" w14:textId="087817DC" w:rsidR="00DD068D" w:rsidRDefault="00DD068D" w:rsidP="00DE2909">
    <w:pPr>
      <w:pStyle w:val="Header"/>
      <w:jc w:val="right"/>
      <w:rPr>
        <w:rFonts w:ascii="Arial" w:hAnsi="Arial" w:cs="Arial"/>
        <w:sz w:val="22"/>
        <w:szCs w:val="22"/>
      </w:rPr>
    </w:pPr>
    <w:r w:rsidRPr="00E616DA">
      <w:rPr>
        <w:rFonts w:ascii="Arial" w:hAnsi="Arial" w:cs="Arial"/>
        <w:sz w:val="22"/>
        <w:szCs w:val="22"/>
      </w:rPr>
      <w:t>5 February 2015</w:t>
    </w:r>
  </w:p>
  <w:p w14:paraId="44CFACBD" w14:textId="77777777" w:rsidR="00DE2909" w:rsidRPr="00DE2909" w:rsidRDefault="00DE2909" w:rsidP="00DE2909">
    <w:pPr>
      <w:pStyle w:val="Header"/>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C6AEE8"/>
    <w:lvl w:ilvl="0">
      <w:numFmt w:val="decimal"/>
      <w:lvlText w:val="*"/>
      <w:lvlJc w:val="left"/>
    </w:lvl>
  </w:abstractNum>
  <w:abstractNum w:abstractNumId="1">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D63B0F"/>
    <w:multiLevelType w:val="hybridMultilevel"/>
    <w:tmpl w:val="CDD63B8E"/>
    <w:lvl w:ilvl="0" w:tplc="4EA0CF44">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130405"/>
    <w:multiLevelType w:val="singleLevel"/>
    <w:tmpl w:val="D7BE2466"/>
    <w:lvl w:ilvl="0">
      <w:start w:val="1"/>
      <w:numFmt w:val="decimal"/>
      <w:lvlText w:val="%1"/>
      <w:lvlJc w:val="left"/>
      <w:pPr>
        <w:tabs>
          <w:tab w:val="num" w:pos="720"/>
        </w:tabs>
        <w:ind w:left="720" w:hanging="720"/>
      </w:pPr>
      <w:rPr>
        <w:rFonts w:hint="default"/>
      </w:rPr>
    </w:lvl>
  </w:abstractNum>
  <w:abstractNum w:abstractNumId="5">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93111E4"/>
    <w:multiLevelType w:val="hybridMultilevel"/>
    <w:tmpl w:val="B874E2EA"/>
    <w:lvl w:ilvl="0" w:tplc="BBFA08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22C3BCB"/>
    <w:multiLevelType w:val="hybridMultilevel"/>
    <w:tmpl w:val="D75A2766"/>
    <w:lvl w:ilvl="0" w:tplc="BEA8C6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7082AAB"/>
    <w:multiLevelType w:val="hybridMultilevel"/>
    <w:tmpl w:val="FAD42F86"/>
    <w:lvl w:ilvl="0" w:tplc="8E1C6EAA">
      <w:start w:val="2"/>
      <w:numFmt w:val="decimal"/>
      <w:lvlText w:val="%1."/>
      <w:lvlJc w:val="left"/>
      <w:pPr>
        <w:tabs>
          <w:tab w:val="num" w:pos="1429"/>
        </w:tabs>
        <w:ind w:left="1429"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C2A0CF3"/>
    <w:multiLevelType w:val="hybridMultilevel"/>
    <w:tmpl w:val="A3EAF5D8"/>
    <w:lvl w:ilvl="0" w:tplc="213EACEC">
      <w:start w:val="1"/>
      <w:numFmt w:val="decimal"/>
      <w:pStyle w:val="sssubhead1"/>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DC0607D"/>
    <w:multiLevelType w:val="hybridMultilevel"/>
    <w:tmpl w:val="E9527F8C"/>
    <w:lvl w:ilvl="0" w:tplc="A5D099DA">
      <w:start w:val="1"/>
      <w:numFmt w:val="bullet"/>
      <w:lvlText w:val=""/>
      <w:lvlJc w:val="left"/>
      <w:pPr>
        <w:tabs>
          <w:tab w:val="num" w:pos="1980"/>
        </w:tabs>
        <w:ind w:left="198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3B165D"/>
    <w:multiLevelType w:val="hybridMultilevel"/>
    <w:tmpl w:val="897CE9DE"/>
    <w:lvl w:ilvl="0" w:tplc="8878C4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803A44"/>
    <w:multiLevelType w:val="hybridMultilevel"/>
    <w:tmpl w:val="B080D458"/>
    <w:lvl w:ilvl="0" w:tplc="DAE88542">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nsid w:val="448B5A76"/>
    <w:multiLevelType w:val="hybridMultilevel"/>
    <w:tmpl w:val="6B3C5D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F200A7"/>
    <w:multiLevelType w:val="hybridMultilevel"/>
    <w:tmpl w:val="2F902B4C"/>
    <w:lvl w:ilvl="0" w:tplc="4DD65908">
      <w:start w:val="1"/>
      <w:numFmt w:val="decimal"/>
      <w:lvlText w:val="%1"/>
      <w:lvlJc w:val="left"/>
      <w:pPr>
        <w:ind w:left="1440" w:hanging="360"/>
      </w:pPr>
      <w:rPr>
        <w:rFonts w:hint="default"/>
        <w:b/>
        <w:sz w:val="28"/>
        <w:szCs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394EB3"/>
    <w:multiLevelType w:val="hybridMultilevel"/>
    <w:tmpl w:val="C2FE17E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539B2F28"/>
    <w:multiLevelType w:val="hybridMultilevel"/>
    <w:tmpl w:val="CE3ED77A"/>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F316EC"/>
    <w:multiLevelType w:val="hybridMultilevel"/>
    <w:tmpl w:val="0B1C802E"/>
    <w:lvl w:ilvl="0" w:tplc="4EA0CF44">
      <w:start w:val="1"/>
      <w:numFmt w:val="lowerLetter"/>
      <w:lvlText w:val="%1)"/>
      <w:lvlJc w:val="left"/>
      <w:pPr>
        <w:tabs>
          <w:tab w:val="num" w:pos="1800"/>
        </w:tabs>
        <w:ind w:left="1800" w:hanging="720"/>
      </w:pPr>
      <w:rPr>
        <w:rFonts w:hint="default"/>
      </w:rPr>
    </w:lvl>
    <w:lvl w:ilvl="1" w:tplc="E7867F70">
      <w:start w:val="1"/>
      <w:numFmt w:val="bullet"/>
      <w:lvlText w:val=""/>
      <w:lvlJc w:val="left"/>
      <w:pPr>
        <w:tabs>
          <w:tab w:val="num" w:pos="2520"/>
        </w:tabs>
        <w:ind w:left="2520" w:hanging="720"/>
      </w:pPr>
      <w:rPr>
        <w:rFonts w:ascii="Symbol" w:hAnsi="Symbol" w:hint="default"/>
        <w:color w:val="auto"/>
      </w:rPr>
    </w:lvl>
    <w:lvl w:ilvl="2" w:tplc="27C63C22">
      <w:start w:val="1"/>
      <w:numFmt w:val="lowerLetter"/>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B230941"/>
    <w:multiLevelType w:val="hybridMultilevel"/>
    <w:tmpl w:val="493C018C"/>
    <w:lvl w:ilvl="0" w:tplc="A70270E8">
      <w:start w:val="1"/>
      <w:numFmt w:val="bullet"/>
      <w:lvlText w:val=""/>
      <w:lvlJc w:val="left"/>
      <w:pPr>
        <w:tabs>
          <w:tab w:val="num" w:pos="2478"/>
        </w:tabs>
        <w:ind w:left="890" w:hanging="5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4E33433"/>
    <w:multiLevelType w:val="hybridMultilevel"/>
    <w:tmpl w:val="168C532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9D434BC"/>
    <w:multiLevelType w:val="hybridMultilevel"/>
    <w:tmpl w:val="908CF34E"/>
    <w:lvl w:ilvl="0" w:tplc="08090017">
      <w:start w:val="1"/>
      <w:numFmt w:val="lowerLetter"/>
      <w:lvlText w:val="%1)"/>
      <w:lvlJc w:val="left"/>
      <w:pPr>
        <w:tabs>
          <w:tab w:val="num" w:pos="1429"/>
        </w:tabs>
        <w:ind w:left="1429"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D3A22C7"/>
    <w:multiLevelType w:val="hybridMultilevel"/>
    <w:tmpl w:val="465A60B8"/>
    <w:lvl w:ilvl="0" w:tplc="E7B222BA">
      <w:start w:val="1"/>
      <w:numFmt w:val="decimal"/>
      <w:lvlText w:val="%1."/>
      <w:lvlJc w:val="left"/>
      <w:pPr>
        <w:tabs>
          <w:tab w:val="num" w:pos="502"/>
        </w:tabs>
        <w:ind w:left="502"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E881D5E"/>
    <w:multiLevelType w:val="hybridMultilevel"/>
    <w:tmpl w:val="3FAE8B8A"/>
    <w:lvl w:ilvl="0" w:tplc="4EA0CF44">
      <w:start w:val="1"/>
      <w:numFmt w:val="lowerLetter"/>
      <w:lvlText w:val="%1)"/>
      <w:lvlJc w:val="left"/>
      <w:pPr>
        <w:tabs>
          <w:tab w:val="num" w:pos="1800"/>
        </w:tabs>
        <w:ind w:left="1800" w:hanging="720"/>
      </w:pPr>
      <w:rPr>
        <w:rFonts w:hint="default"/>
      </w:rPr>
    </w:lvl>
    <w:lvl w:ilvl="1" w:tplc="0409000F">
      <w:start w:val="1"/>
      <w:numFmt w:val="decimal"/>
      <w:lvlText w:val="%2."/>
      <w:lvlJc w:val="left"/>
      <w:pPr>
        <w:tabs>
          <w:tab w:val="num" w:pos="1210"/>
        </w:tabs>
        <w:ind w:left="121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6ED64B9F"/>
    <w:multiLevelType w:val="hybridMultilevel"/>
    <w:tmpl w:val="52E483EE"/>
    <w:lvl w:ilvl="0" w:tplc="50EA8AD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36">
    <w:nsid w:val="7D366220"/>
    <w:multiLevelType w:val="hybridMultilevel"/>
    <w:tmpl w:val="42AE6900"/>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3"/>
  </w:num>
  <w:num w:numId="3">
    <w:abstractNumId w:val="19"/>
  </w:num>
  <w:num w:numId="4">
    <w:abstractNumId w:val="36"/>
  </w:num>
  <w:num w:numId="5">
    <w:abstractNumId w:val="25"/>
  </w:num>
  <w:num w:numId="6">
    <w:abstractNumId w:val="20"/>
  </w:num>
  <w:num w:numId="7">
    <w:abstractNumId w:val="11"/>
  </w:num>
  <w:num w:numId="8">
    <w:abstractNumId w:val="31"/>
  </w:num>
  <w:num w:numId="9">
    <w:abstractNumId w:val="27"/>
  </w:num>
  <w:num w:numId="10">
    <w:abstractNumId w:val="37"/>
  </w:num>
  <w:num w:numId="11">
    <w:abstractNumId w:val="21"/>
  </w:num>
  <w:num w:numId="12">
    <w:abstractNumId w:val="9"/>
  </w:num>
  <w:num w:numId="13">
    <w:abstractNumId w:val="7"/>
  </w:num>
  <w:num w:numId="14">
    <w:abstractNumId w:val="2"/>
  </w:num>
  <w:num w:numId="15">
    <w:abstractNumId w:val="30"/>
  </w:num>
  <w:num w:numId="16">
    <w:abstractNumId w:val="5"/>
  </w:num>
  <w:num w:numId="17">
    <w:abstractNumId w:val="1"/>
  </w:num>
  <w:num w:numId="18">
    <w:abstractNumId w:val="15"/>
  </w:num>
  <w:num w:numId="19">
    <w:abstractNumId w:val="14"/>
  </w:num>
  <w:num w:numId="20">
    <w:abstractNumId w:val="18"/>
  </w:num>
  <w:num w:numId="21">
    <w:abstractNumId w:val="8"/>
  </w:num>
  <w:num w:numId="22">
    <w:abstractNumId w:val="24"/>
  </w:num>
  <w:num w:numId="23">
    <w:abstractNumId w:val="6"/>
  </w:num>
  <w:num w:numId="24">
    <w:abstractNumId w:val="29"/>
  </w:num>
  <w:num w:numId="25">
    <w:abstractNumId w:val="16"/>
  </w:num>
  <w:num w:numId="26">
    <w:abstractNumId w:val="26"/>
  </w:num>
  <w:num w:numId="27">
    <w:abstractNumId w:val="3"/>
  </w:num>
  <w:num w:numId="28">
    <w:abstractNumId w:val="34"/>
  </w:num>
  <w:num w:numId="29">
    <w:abstractNumId w:val="33"/>
  </w:num>
  <w:num w:numId="30">
    <w:abstractNumId w:val="28"/>
  </w:num>
  <w:num w:numId="31">
    <w:abstractNumId w:val="12"/>
  </w:num>
  <w:num w:numId="32">
    <w:abstractNumId w:val="35"/>
  </w:num>
  <w:num w:numId="33">
    <w:abstractNumId w:val="13"/>
  </w:num>
  <w:num w:numId="34">
    <w:abstractNumId w:val="10"/>
  </w:num>
  <w:num w:numId="35">
    <w:abstractNumId w:val="32"/>
  </w:num>
  <w:num w:numId="36">
    <w:abstractNumId w:val="22"/>
  </w:num>
  <w:num w:numId="37">
    <w:abstractNumId w:val="17"/>
  </w:num>
  <w:num w:numId="3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50"/>
    <w:rsid w:val="000033ED"/>
    <w:rsid w:val="00006E0E"/>
    <w:rsid w:val="000121AE"/>
    <w:rsid w:val="00027B51"/>
    <w:rsid w:val="00055E65"/>
    <w:rsid w:val="00056BC8"/>
    <w:rsid w:val="00067D30"/>
    <w:rsid w:val="00071AF4"/>
    <w:rsid w:val="00071C80"/>
    <w:rsid w:val="00071E5B"/>
    <w:rsid w:val="0007411D"/>
    <w:rsid w:val="000975D5"/>
    <w:rsid w:val="000B4D7E"/>
    <w:rsid w:val="000B57C9"/>
    <w:rsid w:val="000B5822"/>
    <w:rsid w:val="000C77B2"/>
    <w:rsid w:val="000D1AF2"/>
    <w:rsid w:val="000D4EEB"/>
    <w:rsid w:val="00104D4A"/>
    <w:rsid w:val="00111D47"/>
    <w:rsid w:val="00117B5F"/>
    <w:rsid w:val="00123DAC"/>
    <w:rsid w:val="00125C21"/>
    <w:rsid w:val="001325B2"/>
    <w:rsid w:val="00153375"/>
    <w:rsid w:val="00155B17"/>
    <w:rsid w:val="00174455"/>
    <w:rsid w:val="00181FED"/>
    <w:rsid w:val="001937A1"/>
    <w:rsid w:val="00195B8D"/>
    <w:rsid w:val="001A493F"/>
    <w:rsid w:val="001B1B5B"/>
    <w:rsid w:val="001D0CD6"/>
    <w:rsid w:val="001D116B"/>
    <w:rsid w:val="001D30A0"/>
    <w:rsid w:val="001E0E93"/>
    <w:rsid w:val="001E1932"/>
    <w:rsid w:val="001F5EFF"/>
    <w:rsid w:val="00202FD0"/>
    <w:rsid w:val="00206612"/>
    <w:rsid w:val="00214EAE"/>
    <w:rsid w:val="00217242"/>
    <w:rsid w:val="0022208C"/>
    <w:rsid w:val="002231CA"/>
    <w:rsid w:val="00231193"/>
    <w:rsid w:val="00233AA4"/>
    <w:rsid w:val="00237155"/>
    <w:rsid w:val="00244625"/>
    <w:rsid w:val="0026234D"/>
    <w:rsid w:val="00265F4A"/>
    <w:rsid w:val="00286199"/>
    <w:rsid w:val="002A3B29"/>
    <w:rsid w:val="002B04D8"/>
    <w:rsid w:val="002C7BA4"/>
    <w:rsid w:val="002D297B"/>
    <w:rsid w:val="002E2729"/>
    <w:rsid w:val="002E3507"/>
    <w:rsid w:val="002E7828"/>
    <w:rsid w:val="002F07EF"/>
    <w:rsid w:val="002F3B57"/>
    <w:rsid w:val="00306278"/>
    <w:rsid w:val="00325036"/>
    <w:rsid w:val="00325B82"/>
    <w:rsid w:val="00333710"/>
    <w:rsid w:val="00334B43"/>
    <w:rsid w:val="00336FE6"/>
    <w:rsid w:val="00340BDC"/>
    <w:rsid w:val="00343056"/>
    <w:rsid w:val="00344740"/>
    <w:rsid w:val="003459D8"/>
    <w:rsid w:val="0034645A"/>
    <w:rsid w:val="003468A7"/>
    <w:rsid w:val="00375959"/>
    <w:rsid w:val="0038124F"/>
    <w:rsid w:val="0038592B"/>
    <w:rsid w:val="00395F2B"/>
    <w:rsid w:val="003A5CAA"/>
    <w:rsid w:val="003B6F0B"/>
    <w:rsid w:val="003D0A3C"/>
    <w:rsid w:val="003E5A12"/>
    <w:rsid w:val="003E66BB"/>
    <w:rsid w:val="003F2B9C"/>
    <w:rsid w:val="00414D7E"/>
    <w:rsid w:val="00416CA8"/>
    <w:rsid w:val="0042227F"/>
    <w:rsid w:val="00440EF8"/>
    <w:rsid w:val="00441922"/>
    <w:rsid w:val="00441A0D"/>
    <w:rsid w:val="00450C57"/>
    <w:rsid w:val="00451480"/>
    <w:rsid w:val="00457DA6"/>
    <w:rsid w:val="00463E63"/>
    <w:rsid w:val="00466A6A"/>
    <w:rsid w:val="004711A7"/>
    <w:rsid w:val="00471C85"/>
    <w:rsid w:val="00473B69"/>
    <w:rsid w:val="00480908"/>
    <w:rsid w:val="00491DAE"/>
    <w:rsid w:val="004929A5"/>
    <w:rsid w:val="00493BC8"/>
    <w:rsid w:val="004A0CF1"/>
    <w:rsid w:val="004A510B"/>
    <w:rsid w:val="004A5632"/>
    <w:rsid w:val="004A5F7E"/>
    <w:rsid w:val="004B1BFD"/>
    <w:rsid w:val="004B38B0"/>
    <w:rsid w:val="004B4D9B"/>
    <w:rsid w:val="004B65BC"/>
    <w:rsid w:val="004C5CC4"/>
    <w:rsid w:val="004D005F"/>
    <w:rsid w:val="004D0A4C"/>
    <w:rsid w:val="004E0C2B"/>
    <w:rsid w:val="004F5D43"/>
    <w:rsid w:val="00501ECF"/>
    <w:rsid w:val="005023AC"/>
    <w:rsid w:val="005027D2"/>
    <w:rsid w:val="00512A2A"/>
    <w:rsid w:val="00525A6E"/>
    <w:rsid w:val="005367DA"/>
    <w:rsid w:val="00542397"/>
    <w:rsid w:val="005523B2"/>
    <w:rsid w:val="00552E1C"/>
    <w:rsid w:val="005531BF"/>
    <w:rsid w:val="00553A7B"/>
    <w:rsid w:val="00561DBC"/>
    <w:rsid w:val="005713C9"/>
    <w:rsid w:val="00576EB3"/>
    <w:rsid w:val="005777A0"/>
    <w:rsid w:val="00580EBD"/>
    <w:rsid w:val="00583711"/>
    <w:rsid w:val="00584804"/>
    <w:rsid w:val="00584B86"/>
    <w:rsid w:val="00591426"/>
    <w:rsid w:val="005928FD"/>
    <w:rsid w:val="00597BD1"/>
    <w:rsid w:val="005A75D8"/>
    <w:rsid w:val="005B53B1"/>
    <w:rsid w:val="005B70EF"/>
    <w:rsid w:val="005B76E5"/>
    <w:rsid w:val="005C07FE"/>
    <w:rsid w:val="005C7E9B"/>
    <w:rsid w:val="005E7E09"/>
    <w:rsid w:val="005F271D"/>
    <w:rsid w:val="00606F52"/>
    <w:rsid w:val="006135B3"/>
    <w:rsid w:val="00613914"/>
    <w:rsid w:val="0062384A"/>
    <w:rsid w:val="006241F0"/>
    <w:rsid w:val="00624C7C"/>
    <w:rsid w:val="00626098"/>
    <w:rsid w:val="006319AB"/>
    <w:rsid w:val="00651999"/>
    <w:rsid w:val="00656BA2"/>
    <w:rsid w:val="00656C38"/>
    <w:rsid w:val="00660121"/>
    <w:rsid w:val="00662B17"/>
    <w:rsid w:val="0068347E"/>
    <w:rsid w:val="006841B7"/>
    <w:rsid w:val="006943BC"/>
    <w:rsid w:val="006944BA"/>
    <w:rsid w:val="006A0A23"/>
    <w:rsid w:val="006B589E"/>
    <w:rsid w:val="006C09C1"/>
    <w:rsid w:val="006D27D3"/>
    <w:rsid w:val="006D45C8"/>
    <w:rsid w:val="006D4F01"/>
    <w:rsid w:val="006D573F"/>
    <w:rsid w:val="006D63FD"/>
    <w:rsid w:val="006E4E73"/>
    <w:rsid w:val="006E73CA"/>
    <w:rsid w:val="006F68BA"/>
    <w:rsid w:val="0073120A"/>
    <w:rsid w:val="00742C28"/>
    <w:rsid w:val="00743690"/>
    <w:rsid w:val="0074468C"/>
    <w:rsid w:val="007541C6"/>
    <w:rsid w:val="00754384"/>
    <w:rsid w:val="00761210"/>
    <w:rsid w:val="00765C9F"/>
    <w:rsid w:val="00777504"/>
    <w:rsid w:val="007821C2"/>
    <w:rsid w:val="00793B93"/>
    <w:rsid w:val="007B08DA"/>
    <w:rsid w:val="007B10F9"/>
    <w:rsid w:val="007C69B7"/>
    <w:rsid w:val="007D7800"/>
    <w:rsid w:val="007F6706"/>
    <w:rsid w:val="007F7748"/>
    <w:rsid w:val="00804322"/>
    <w:rsid w:val="00823681"/>
    <w:rsid w:val="0082640F"/>
    <w:rsid w:val="00830F70"/>
    <w:rsid w:val="0083536F"/>
    <w:rsid w:val="008360E8"/>
    <w:rsid w:val="00841033"/>
    <w:rsid w:val="00846D21"/>
    <w:rsid w:val="008507A9"/>
    <w:rsid w:val="00865BDD"/>
    <w:rsid w:val="00870317"/>
    <w:rsid w:val="00880C79"/>
    <w:rsid w:val="008A2311"/>
    <w:rsid w:val="008B11EF"/>
    <w:rsid w:val="008B2D2D"/>
    <w:rsid w:val="008C14A0"/>
    <w:rsid w:val="008C1C3A"/>
    <w:rsid w:val="008D14F6"/>
    <w:rsid w:val="008E79C2"/>
    <w:rsid w:val="008F561B"/>
    <w:rsid w:val="0090050F"/>
    <w:rsid w:val="009006D3"/>
    <w:rsid w:val="00905D4C"/>
    <w:rsid w:val="00923FF4"/>
    <w:rsid w:val="00926B11"/>
    <w:rsid w:val="00932914"/>
    <w:rsid w:val="00943752"/>
    <w:rsid w:val="00951ECA"/>
    <w:rsid w:val="0095388C"/>
    <w:rsid w:val="00957AF1"/>
    <w:rsid w:val="00973CB6"/>
    <w:rsid w:val="00975DC4"/>
    <w:rsid w:val="009764BF"/>
    <w:rsid w:val="00977673"/>
    <w:rsid w:val="009812BD"/>
    <w:rsid w:val="0098276F"/>
    <w:rsid w:val="009908BA"/>
    <w:rsid w:val="009A0305"/>
    <w:rsid w:val="009A25D3"/>
    <w:rsid w:val="009A425F"/>
    <w:rsid w:val="009A6D03"/>
    <w:rsid w:val="009B4A7A"/>
    <w:rsid w:val="009C634A"/>
    <w:rsid w:val="009C6355"/>
    <w:rsid w:val="009C7FA8"/>
    <w:rsid w:val="009D1C8B"/>
    <w:rsid w:val="009D5A25"/>
    <w:rsid w:val="009E1DD1"/>
    <w:rsid w:val="009F0AF2"/>
    <w:rsid w:val="00A001BD"/>
    <w:rsid w:val="00A009D5"/>
    <w:rsid w:val="00A04037"/>
    <w:rsid w:val="00A04DD2"/>
    <w:rsid w:val="00A0561C"/>
    <w:rsid w:val="00A059E8"/>
    <w:rsid w:val="00A06565"/>
    <w:rsid w:val="00A13231"/>
    <w:rsid w:val="00A20DAB"/>
    <w:rsid w:val="00A217D9"/>
    <w:rsid w:val="00A21B2D"/>
    <w:rsid w:val="00A35406"/>
    <w:rsid w:val="00A414D8"/>
    <w:rsid w:val="00A5564D"/>
    <w:rsid w:val="00A61944"/>
    <w:rsid w:val="00A64E0E"/>
    <w:rsid w:val="00A652CB"/>
    <w:rsid w:val="00A66DB8"/>
    <w:rsid w:val="00A76EF1"/>
    <w:rsid w:val="00A84535"/>
    <w:rsid w:val="00A97A31"/>
    <w:rsid w:val="00AB057D"/>
    <w:rsid w:val="00AB0CCE"/>
    <w:rsid w:val="00AF0316"/>
    <w:rsid w:val="00AF44A4"/>
    <w:rsid w:val="00AF71A3"/>
    <w:rsid w:val="00B054EF"/>
    <w:rsid w:val="00B15530"/>
    <w:rsid w:val="00B431F6"/>
    <w:rsid w:val="00B43E8C"/>
    <w:rsid w:val="00B45D89"/>
    <w:rsid w:val="00B51553"/>
    <w:rsid w:val="00B539CF"/>
    <w:rsid w:val="00B56E6C"/>
    <w:rsid w:val="00B608AF"/>
    <w:rsid w:val="00B60993"/>
    <w:rsid w:val="00B66150"/>
    <w:rsid w:val="00B7144B"/>
    <w:rsid w:val="00B75422"/>
    <w:rsid w:val="00B80050"/>
    <w:rsid w:val="00B80F0B"/>
    <w:rsid w:val="00B817E7"/>
    <w:rsid w:val="00B86EDE"/>
    <w:rsid w:val="00B91F5F"/>
    <w:rsid w:val="00B97F8F"/>
    <w:rsid w:val="00BA12EF"/>
    <w:rsid w:val="00BA577D"/>
    <w:rsid w:val="00BB4253"/>
    <w:rsid w:val="00BC050C"/>
    <w:rsid w:val="00BC093C"/>
    <w:rsid w:val="00BD07F8"/>
    <w:rsid w:val="00BD6DDA"/>
    <w:rsid w:val="00BE4057"/>
    <w:rsid w:val="00BE5C14"/>
    <w:rsid w:val="00BF14B6"/>
    <w:rsid w:val="00BF59FB"/>
    <w:rsid w:val="00BF6300"/>
    <w:rsid w:val="00BF6FDE"/>
    <w:rsid w:val="00BF7F46"/>
    <w:rsid w:val="00C1034D"/>
    <w:rsid w:val="00C21828"/>
    <w:rsid w:val="00C26C55"/>
    <w:rsid w:val="00C274E6"/>
    <w:rsid w:val="00C310FC"/>
    <w:rsid w:val="00C32518"/>
    <w:rsid w:val="00C34397"/>
    <w:rsid w:val="00C358E5"/>
    <w:rsid w:val="00C36C04"/>
    <w:rsid w:val="00C3700F"/>
    <w:rsid w:val="00C52185"/>
    <w:rsid w:val="00C53E0F"/>
    <w:rsid w:val="00C5656F"/>
    <w:rsid w:val="00C60177"/>
    <w:rsid w:val="00C6106A"/>
    <w:rsid w:val="00C63635"/>
    <w:rsid w:val="00C76102"/>
    <w:rsid w:val="00C7712E"/>
    <w:rsid w:val="00C87EF8"/>
    <w:rsid w:val="00C90682"/>
    <w:rsid w:val="00CA588F"/>
    <w:rsid w:val="00CC0016"/>
    <w:rsid w:val="00CC1AF0"/>
    <w:rsid w:val="00CC21A3"/>
    <w:rsid w:val="00CC66FB"/>
    <w:rsid w:val="00CD6E25"/>
    <w:rsid w:val="00CD7850"/>
    <w:rsid w:val="00CE2329"/>
    <w:rsid w:val="00CF2200"/>
    <w:rsid w:val="00D06300"/>
    <w:rsid w:val="00D079C6"/>
    <w:rsid w:val="00D14B98"/>
    <w:rsid w:val="00D23903"/>
    <w:rsid w:val="00D44BFE"/>
    <w:rsid w:val="00D46B88"/>
    <w:rsid w:val="00D47ECC"/>
    <w:rsid w:val="00D573FE"/>
    <w:rsid w:val="00D623CA"/>
    <w:rsid w:val="00D63A22"/>
    <w:rsid w:val="00D65102"/>
    <w:rsid w:val="00D67431"/>
    <w:rsid w:val="00D73D1C"/>
    <w:rsid w:val="00D75390"/>
    <w:rsid w:val="00D77895"/>
    <w:rsid w:val="00D82C33"/>
    <w:rsid w:val="00D83078"/>
    <w:rsid w:val="00D860E9"/>
    <w:rsid w:val="00D86E93"/>
    <w:rsid w:val="00D96096"/>
    <w:rsid w:val="00DB513F"/>
    <w:rsid w:val="00DB7D65"/>
    <w:rsid w:val="00DC3AA4"/>
    <w:rsid w:val="00DC3C85"/>
    <w:rsid w:val="00DC3EB2"/>
    <w:rsid w:val="00DD066F"/>
    <w:rsid w:val="00DD068D"/>
    <w:rsid w:val="00DE2909"/>
    <w:rsid w:val="00DE52D0"/>
    <w:rsid w:val="00DF02C2"/>
    <w:rsid w:val="00DF2254"/>
    <w:rsid w:val="00DF2ECB"/>
    <w:rsid w:val="00DF5AA9"/>
    <w:rsid w:val="00E0058E"/>
    <w:rsid w:val="00E00D78"/>
    <w:rsid w:val="00E01C3F"/>
    <w:rsid w:val="00E050A6"/>
    <w:rsid w:val="00E0674E"/>
    <w:rsid w:val="00E12052"/>
    <w:rsid w:val="00E122B0"/>
    <w:rsid w:val="00E1629A"/>
    <w:rsid w:val="00E163C7"/>
    <w:rsid w:val="00E1768C"/>
    <w:rsid w:val="00E22F63"/>
    <w:rsid w:val="00E23504"/>
    <w:rsid w:val="00E255C9"/>
    <w:rsid w:val="00E27F5A"/>
    <w:rsid w:val="00E32BB2"/>
    <w:rsid w:val="00E70DFB"/>
    <w:rsid w:val="00E720BB"/>
    <w:rsid w:val="00E80541"/>
    <w:rsid w:val="00E85D03"/>
    <w:rsid w:val="00E85D8B"/>
    <w:rsid w:val="00EA6439"/>
    <w:rsid w:val="00ED5F67"/>
    <w:rsid w:val="00EE5E9F"/>
    <w:rsid w:val="00EF21DB"/>
    <w:rsid w:val="00F00740"/>
    <w:rsid w:val="00F119E8"/>
    <w:rsid w:val="00F17498"/>
    <w:rsid w:val="00F305E7"/>
    <w:rsid w:val="00F33274"/>
    <w:rsid w:val="00F5099C"/>
    <w:rsid w:val="00F51451"/>
    <w:rsid w:val="00F53419"/>
    <w:rsid w:val="00F5373E"/>
    <w:rsid w:val="00F54254"/>
    <w:rsid w:val="00F5438F"/>
    <w:rsid w:val="00F6108B"/>
    <w:rsid w:val="00F65068"/>
    <w:rsid w:val="00F6564C"/>
    <w:rsid w:val="00F72E0D"/>
    <w:rsid w:val="00F902E6"/>
    <w:rsid w:val="00F93AC4"/>
    <w:rsid w:val="00F946BE"/>
    <w:rsid w:val="00FA79E5"/>
    <w:rsid w:val="00FB3107"/>
    <w:rsid w:val="00FB4B9A"/>
    <w:rsid w:val="00FD1E6E"/>
    <w:rsid w:val="00FD7AF5"/>
    <w:rsid w:val="00FF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201715C1"/>
  <w15:docId w15:val="{EFAE13CA-432F-4B04-BD47-3B42B83B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6">
    <w:name w:val="heading 6"/>
    <w:basedOn w:val="Normal"/>
    <w:next w:val="Normal"/>
    <w:link w:val="Heading6Char"/>
    <w:qFormat/>
    <w:rsid w:val="00DD068D"/>
    <w:pPr>
      <w:keepNext/>
      <w:tabs>
        <w:tab w:val="left" w:pos="709"/>
        <w:tab w:val="left" w:pos="2127"/>
      </w:tabs>
      <w:overflowPunct w:val="0"/>
      <w:autoSpaceDE w:val="0"/>
      <w:autoSpaceDN w:val="0"/>
      <w:adjustRightInd w:val="0"/>
      <w:ind w:right="387" w:hanging="709"/>
      <w:jc w:val="both"/>
      <w:textAlignment w:val="baseline"/>
      <w:outlineLvl w:val="5"/>
    </w:pPr>
    <w:rPr>
      <w:rFonts w:ascii="Tms Rmn" w:hAnsi="Tms Rmn"/>
      <w:b/>
      <w:sz w:val="22"/>
      <w:szCs w:val="20"/>
      <w:lang w:val="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paragraph" w:styleId="Heading9">
    <w:name w:val="heading 9"/>
    <w:basedOn w:val="Normal"/>
    <w:next w:val="Normal"/>
    <w:link w:val="Heading9Char"/>
    <w:qFormat/>
    <w:rsid w:val="00DD068D"/>
    <w:pPr>
      <w:keepNext/>
      <w:tabs>
        <w:tab w:val="left" w:pos="709"/>
      </w:tabs>
      <w:overflowPunct w:val="0"/>
      <w:autoSpaceDE w:val="0"/>
      <w:autoSpaceDN w:val="0"/>
      <w:adjustRightInd w:val="0"/>
      <w:ind w:left="709" w:hanging="709"/>
      <w:jc w:val="both"/>
      <w:textAlignment w:val="baseline"/>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F53419"/>
    <w:pPr>
      <w:keepNext w:val="0"/>
      <w:numPr>
        <w:numId w:val="31"/>
      </w:numPr>
      <w:spacing w:before="0" w:after="0"/>
      <w:ind w:left="709" w:hanging="709"/>
    </w:pPr>
    <w:rPr>
      <w:kern w:val="0"/>
      <w:sz w:val="28"/>
      <w:szCs w:val="28"/>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link w:val="FooterChar"/>
    <w:uiPriority w:val="99"/>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link w:val="PlainTextChar"/>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paragraph" w:styleId="ListParagraph">
    <w:name w:val="List Paragraph"/>
    <w:basedOn w:val="Normal"/>
    <w:uiPriority w:val="34"/>
    <w:qFormat/>
    <w:rsid w:val="001325B2"/>
    <w:pPr>
      <w:ind w:left="720"/>
      <w:contextualSpacing/>
    </w:pPr>
  </w:style>
  <w:style w:type="character" w:customStyle="1" w:styleId="FooterChar">
    <w:name w:val="Footer Char"/>
    <w:link w:val="Footer"/>
    <w:uiPriority w:val="99"/>
    <w:rsid w:val="00C52185"/>
    <w:rPr>
      <w:sz w:val="24"/>
      <w:szCs w:val="24"/>
      <w:lang w:val="en-GB" w:eastAsia="en-GB"/>
    </w:rPr>
  </w:style>
  <w:style w:type="character" w:customStyle="1" w:styleId="PlainTextChar">
    <w:name w:val="Plain Text Char"/>
    <w:basedOn w:val="DefaultParagraphFont"/>
    <w:link w:val="PlainText"/>
    <w:rsid w:val="00F53419"/>
    <w:rPr>
      <w:rFonts w:ascii="Courier New" w:hAnsi="Courier New" w:cs="Courier New"/>
      <w:lang w:val="en-GB" w:eastAsia="en-GB"/>
    </w:rPr>
  </w:style>
  <w:style w:type="character" w:customStyle="1" w:styleId="Heading6Char">
    <w:name w:val="Heading 6 Char"/>
    <w:basedOn w:val="DefaultParagraphFont"/>
    <w:link w:val="Heading6"/>
    <w:rsid w:val="00DD068D"/>
    <w:rPr>
      <w:rFonts w:ascii="Tms Rmn" w:hAnsi="Tms Rmn"/>
      <w:b/>
      <w:sz w:val="22"/>
      <w:lang w:eastAsia="en-GB"/>
    </w:rPr>
  </w:style>
  <w:style w:type="character" w:customStyle="1" w:styleId="Heading9Char">
    <w:name w:val="Heading 9 Char"/>
    <w:basedOn w:val="DefaultParagraphFont"/>
    <w:link w:val="Heading9"/>
    <w:rsid w:val="00DD068D"/>
    <w:rPr>
      <w:i/>
      <w:sz w:val="24"/>
      <w:lang w:val="en-GB" w:eastAsia="en-GB"/>
    </w:rPr>
  </w:style>
  <w:style w:type="paragraph" w:styleId="Subtitle">
    <w:name w:val="Subtitle"/>
    <w:basedOn w:val="Normal"/>
    <w:link w:val="SubtitleChar"/>
    <w:qFormat/>
    <w:rsid w:val="00DD068D"/>
    <w:pPr>
      <w:overflowPunct w:val="0"/>
      <w:autoSpaceDE w:val="0"/>
      <w:autoSpaceDN w:val="0"/>
      <w:adjustRightInd w:val="0"/>
      <w:ind w:right="-1552"/>
      <w:textAlignment w:val="baseline"/>
    </w:pPr>
    <w:rPr>
      <w:rFonts w:ascii="News Gothic MT" w:hAnsi="News Gothic MT"/>
      <w:b/>
      <w:sz w:val="36"/>
      <w:szCs w:val="20"/>
      <w:lang w:val="en-US"/>
    </w:rPr>
  </w:style>
  <w:style w:type="character" w:customStyle="1" w:styleId="SubtitleChar">
    <w:name w:val="Subtitle Char"/>
    <w:basedOn w:val="DefaultParagraphFont"/>
    <w:link w:val="Subtitle"/>
    <w:rsid w:val="00DD068D"/>
    <w:rPr>
      <w:rFonts w:ascii="News Gothic MT" w:hAnsi="News Gothic MT"/>
      <w:b/>
      <w:sz w:val="36"/>
      <w:lang w:eastAsia="en-GB"/>
    </w:rPr>
  </w:style>
  <w:style w:type="paragraph" w:styleId="BodyTextIndent3">
    <w:name w:val="Body Text Indent 3"/>
    <w:basedOn w:val="Normal"/>
    <w:link w:val="BodyTextIndent3Char"/>
    <w:rsid w:val="00DD068D"/>
    <w:pPr>
      <w:tabs>
        <w:tab w:val="left" w:pos="1276"/>
        <w:tab w:val="left" w:pos="8222"/>
      </w:tabs>
      <w:overflowPunct w:val="0"/>
      <w:autoSpaceDE w:val="0"/>
      <w:autoSpaceDN w:val="0"/>
      <w:adjustRightInd w:val="0"/>
      <w:ind w:left="1418" w:firstLine="992"/>
      <w:jc w:val="both"/>
      <w:textAlignment w:val="baseline"/>
    </w:pPr>
    <w:rPr>
      <w:i/>
      <w:szCs w:val="20"/>
    </w:rPr>
  </w:style>
  <w:style w:type="character" w:customStyle="1" w:styleId="BodyTextIndent3Char">
    <w:name w:val="Body Text Indent 3 Char"/>
    <w:basedOn w:val="DefaultParagraphFont"/>
    <w:link w:val="BodyTextIndent3"/>
    <w:rsid w:val="00DD068D"/>
    <w:rPr>
      <w:i/>
      <w:sz w:val="24"/>
      <w:lang w:val="en-GB" w:eastAsia="en-GB"/>
    </w:rPr>
  </w:style>
  <w:style w:type="paragraph" w:styleId="NormalWeb">
    <w:name w:val="Normal (Web)"/>
    <w:basedOn w:val="Normal"/>
    <w:uiPriority w:val="99"/>
    <w:semiHidden/>
    <w:unhideWhenUsed/>
    <w:rsid w:val="00DD068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15cec8fd-eede-43ea-a7f7-e4f4e18d2a8d" ContentTypeId="0x010100E1CC3F4493E0FC4D8466E5A019837875" PreviousValue="true"/>
</file>

<file path=customXml/item3.xml><?xml version="1.0" encoding="utf-8"?>
<ct:contentTypeSchema xmlns:ct="http://schemas.microsoft.com/office/2006/metadata/contentType" xmlns:ma="http://schemas.microsoft.com/office/2006/metadata/properties/metaAttributes" ct:_="" ma:_="" ma:contentTypeName="SFRS Document" ma:contentTypeID="0x010100E1CC3F4493E0FC4D8466E5A01983787500B85C5520223B844486E9A97D9ECDFF88" ma:contentTypeVersion="100" ma:contentTypeDescription="" ma:contentTypeScope="" ma:versionID="9655f2d65c7bf73972ddf1736638c3aa">
  <xsd:schema xmlns:xsd="http://www.w3.org/2001/XMLSchema" xmlns:xs="http://www.w3.org/2001/XMLSchema" xmlns:p="http://schemas.microsoft.com/office/2006/metadata/properties" xmlns:ns2="a74abe98-04d6-4650-a86d-b684cd679024" targetNamespace="http://schemas.microsoft.com/office/2006/metadata/properties" ma:root="true" ma:fieldsID="8c269e73c1bd99d3818bae084d90bd16" ns2:_="">
    <xsd:import namespace="a74abe98-04d6-4650-a86d-b684cd679024"/>
    <xsd:element name="properties">
      <xsd:complexType>
        <xsd:sequence>
          <xsd:element name="documentManagement">
            <xsd:complexType>
              <xsd:all>
                <xsd:element ref="ns2:b133dadb792242fe9b5669aa8757600b" minOccurs="0"/>
                <xsd:element ref="ns2:TaxCatchAll" minOccurs="0"/>
                <xsd:element ref="ns2:TaxCatchAllLabel" minOccurs="0"/>
                <xsd:element ref="ns2:_dlc_DocId" minOccurs="0"/>
                <xsd:element ref="ns2:_dlc_DocIdUrl" minOccurs="0"/>
                <xsd:element ref="ns2:_dlc_DocIdPersistId"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b133dadb792242fe9b5669aa8757600b" ma:index="8" nillable="true" ma:taxonomy="true" ma:internalName="b133dadb792242fe9b5669aa8757600b" ma:taxonomyFieldName="SFRSTopic" ma:displayName="Topic"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 ma:index="9"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TaxCatchAll xmlns="a74abe98-04d6-4650-a86d-b684cd679024"/>
    <TaxKeywordTaxHTField xmlns="a74abe98-04d6-4650-a86d-b684cd679024">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42DA-49E8-4F70-867A-7336DFAF5CBD}">
  <ds:schemaRefs>
    <ds:schemaRef ds:uri="http://schemas.microsoft.com/sharepoint/events"/>
  </ds:schemaRefs>
</ds:datastoreItem>
</file>

<file path=customXml/itemProps2.xml><?xml version="1.0" encoding="utf-8"?>
<ds:datastoreItem xmlns:ds="http://schemas.openxmlformats.org/officeDocument/2006/customXml" ds:itemID="{7DD012AB-1A26-4CF3-9E9B-B18E81133245}">
  <ds:schemaRefs>
    <ds:schemaRef ds:uri="Microsoft.SharePoint.Taxonomy.ContentTypeSync"/>
  </ds:schemaRefs>
</ds:datastoreItem>
</file>

<file path=customXml/itemProps3.xml><?xml version="1.0" encoding="utf-8"?>
<ds:datastoreItem xmlns:ds="http://schemas.openxmlformats.org/officeDocument/2006/customXml" ds:itemID="{F396E62C-6A61-4BCC-AE73-C0ACA87C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C1F42-E9C3-43F1-B741-80651536AF30}">
  <ds:schemaRefs>
    <ds:schemaRef ds:uri="http://purl.org/dc/elements/1.1/"/>
    <ds:schemaRef ds:uri="a74abe98-04d6-4650-a86d-b684cd679024"/>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F6E61D88-C780-4EFB-A965-3D7F466AA3F9}">
  <ds:schemaRefs>
    <ds:schemaRef ds:uri="http://schemas.microsoft.com/sharepoint/v3/contenttype/forms"/>
  </ds:schemaRefs>
</ds:datastoreItem>
</file>

<file path=customXml/itemProps6.xml><?xml version="1.0" encoding="utf-8"?>
<ds:datastoreItem xmlns:ds="http://schemas.openxmlformats.org/officeDocument/2006/customXml" ds:itemID="{8D21AE02-0C16-4DAF-ACE7-894FD3F94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16</Pages>
  <Words>4932</Words>
  <Characters>28119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Shropshire and Wrekin Fire Authority</vt:lpstr>
    </vt:vector>
  </TitlesOfParts>
  <Company>SFRS</Company>
  <LinksUpToDate>false</LinksUpToDate>
  <CharactersWithSpaces>32986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Shropshire and Wrekin Fire Authority</dc:title>
  <dc:subject/>
  <dc:creator>Joanne Coadey</dc:creator>
  <cp:keywords/>
  <dc:description/>
  <cp:lastModifiedBy>Lynn Ince</cp:lastModifiedBy>
  <cp:revision>26</cp:revision>
  <cp:lastPrinted>2015-01-28T10:31:00Z</cp:lastPrinted>
  <dcterms:created xsi:type="dcterms:W3CDTF">2014-12-17T16:37:00Z</dcterms:created>
  <dcterms:modified xsi:type="dcterms:W3CDTF">2015-01-28T15:27:00Z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0x010100E1CC3F4493E0FC4D8466E5A01983787500B85C5520223B844486E9A97D9ECDFF88</vt:lpwstr>
  </property>
  <property fmtid="{D5CDD505-2E9C-101B-9397-08002B2CF9AE}" pid="3" name="TaxKeyword">
    <vt:lpwstr/>
  </property>
  <property fmtid="{D5CDD505-2E9C-101B-9397-08002B2CF9AE}" pid="4" name="SFRSTopic">
    <vt:lpwstr/>
  </property>
</Properties>
</file>