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A6CFE"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6C8A6CFF" w14:textId="77777777" w:rsidR="00CD7850" w:rsidRPr="001C298B" w:rsidRDefault="00846559" w:rsidP="00591426">
      <w:pPr>
        <w:widowControl w:val="0"/>
        <w:jc w:val="right"/>
        <w:rPr>
          <w:rFonts w:ascii="Arial" w:hAnsi="Arial" w:cs="Arial"/>
          <w:snapToGrid w:val="0"/>
          <w:lang w:eastAsia="en-US"/>
        </w:rPr>
      </w:pPr>
      <w:r w:rsidRPr="001C298B">
        <w:rPr>
          <w:rFonts w:ascii="Arial" w:hAnsi="Arial" w:cs="Arial"/>
          <w:snapToGrid w:val="0"/>
          <w:lang w:eastAsia="en-US"/>
        </w:rPr>
        <w:t>Strategy and Resources Committee</w:t>
      </w:r>
    </w:p>
    <w:p w14:paraId="6C8A6D00" w14:textId="77777777" w:rsidR="00CD7850" w:rsidRPr="001C298B" w:rsidRDefault="000629F5" w:rsidP="00591426">
      <w:pPr>
        <w:widowControl w:val="0"/>
        <w:jc w:val="right"/>
        <w:rPr>
          <w:rFonts w:ascii="Arial" w:hAnsi="Arial" w:cs="Arial"/>
          <w:snapToGrid w:val="0"/>
          <w:lang w:eastAsia="en-US"/>
        </w:rPr>
      </w:pPr>
      <w:r>
        <w:rPr>
          <w:rFonts w:ascii="Arial" w:hAnsi="Arial" w:cs="Arial"/>
          <w:snapToGrid w:val="0"/>
          <w:lang w:eastAsia="en-US"/>
        </w:rPr>
        <w:t>5</w:t>
      </w:r>
      <w:r w:rsidR="00846559" w:rsidRPr="001C298B">
        <w:rPr>
          <w:rFonts w:ascii="Arial" w:hAnsi="Arial" w:cs="Arial"/>
          <w:snapToGrid w:val="0"/>
          <w:lang w:eastAsia="en-US"/>
        </w:rPr>
        <w:t xml:space="preserve"> February 201</w:t>
      </w:r>
      <w:r>
        <w:rPr>
          <w:rFonts w:ascii="Arial" w:hAnsi="Arial" w:cs="Arial"/>
          <w:snapToGrid w:val="0"/>
          <w:lang w:eastAsia="en-US"/>
        </w:rPr>
        <w:t>5</w:t>
      </w:r>
    </w:p>
    <w:p w14:paraId="700844C5" w14:textId="77777777" w:rsidR="00AE63EF" w:rsidRDefault="00AE63EF" w:rsidP="00CD7850">
      <w:pPr>
        <w:widowControl w:val="0"/>
      </w:pPr>
    </w:p>
    <w:p w14:paraId="6C8A6D01" w14:textId="77777777" w:rsidR="00480908" w:rsidRPr="006D45C8" w:rsidRDefault="004E0C2B" w:rsidP="00CD7850">
      <w:pPr>
        <w:widowControl w:val="0"/>
        <w:rPr>
          <w:rFonts w:ascii="Arial" w:hAnsi="Arial" w:cs="Arial"/>
          <w:snapToGrid w:val="0"/>
          <w:lang w:eastAsia="en-US"/>
        </w:rPr>
      </w:pPr>
      <w:r>
        <w:fldChar w:fldCharType="begin"/>
      </w:r>
      <w:r w:rsidR="00336FE6">
        <w:instrText xml:space="preserve"> FILLIN  "Name of Committee"  \* MERGEFORMAT </w:instrText>
      </w:r>
      <w:r>
        <w:fldChar w:fldCharType="end"/>
      </w:r>
    </w:p>
    <w:p w14:paraId="6C8A6D03" w14:textId="77777777" w:rsidR="00591426" w:rsidRPr="0026234D" w:rsidRDefault="00DB3CD4" w:rsidP="00CD7850">
      <w:pPr>
        <w:widowControl w:val="0"/>
        <w:rPr>
          <w:rFonts w:ascii="Arial" w:hAnsi="Arial"/>
          <w:b/>
          <w:snapToGrid w:val="0"/>
          <w:sz w:val="40"/>
          <w:szCs w:val="40"/>
          <w:lang w:eastAsia="en-US"/>
        </w:rPr>
      </w:pPr>
      <w:r>
        <w:rPr>
          <w:rFonts w:ascii="Arial" w:hAnsi="Arial"/>
          <w:b/>
          <w:snapToGrid w:val="0"/>
          <w:sz w:val="40"/>
          <w:szCs w:val="40"/>
          <w:lang w:eastAsia="en-US"/>
        </w:rPr>
        <w:t>Adequacy of Provisions and Reserves and Robustness of Budget</w:t>
      </w:r>
    </w:p>
    <w:p w14:paraId="6C8A6D04" w14:textId="77777777" w:rsidR="00591426" w:rsidRDefault="00591426" w:rsidP="00F72E0D">
      <w:pPr>
        <w:widowControl w:val="0"/>
        <w:jc w:val="both"/>
        <w:rPr>
          <w:rFonts w:ascii="Arial" w:hAnsi="Arial"/>
          <w:b/>
          <w:snapToGrid w:val="0"/>
          <w:lang w:eastAsia="en-US"/>
        </w:rPr>
      </w:pPr>
    </w:p>
    <w:p w14:paraId="6C8A6D05" w14:textId="77777777" w:rsidR="00CD7850" w:rsidRPr="00117B5F" w:rsidRDefault="00CD7850" w:rsidP="00F72E0D">
      <w:pPr>
        <w:widowControl w:val="0"/>
        <w:jc w:val="both"/>
        <w:rPr>
          <w:rFonts w:ascii="Arial" w:hAnsi="Arial"/>
          <w:b/>
          <w:snapToGrid w:val="0"/>
          <w:lang w:eastAsia="en-US"/>
        </w:rPr>
      </w:pPr>
    </w:p>
    <w:p w14:paraId="6C8A6D06" w14:textId="77777777" w:rsidR="002231CA" w:rsidRDefault="002231CA" w:rsidP="00CD7850">
      <w:pPr>
        <w:pStyle w:val="ssheader"/>
        <w:widowControl w:val="0"/>
        <w:rPr>
          <w:sz w:val="28"/>
          <w:szCs w:val="28"/>
        </w:rPr>
      </w:pPr>
      <w:r>
        <w:rPr>
          <w:caps w:val="0"/>
          <w:sz w:val="28"/>
          <w:szCs w:val="28"/>
        </w:rPr>
        <w:t xml:space="preserve">Report of the </w:t>
      </w:r>
      <w:r w:rsidR="00A63658">
        <w:rPr>
          <w:caps w:val="0"/>
          <w:sz w:val="28"/>
          <w:szCs w:val="28"/>
        </w:rPr>
        <w:t>Treasurer</w:t>
      </w:r>
    </w:p>
    <w:p w14:paraId="6C8A6D07" w14:textId="77777777" w:rsidR="00591426" w:rsidRPr="007D7800" w:rsidRDefault="002231CA" w:rsidP="00CD7850">
      <w:pPr>
        <w:pStyle w:val="ssheader"/>
        <w:widowControl w:val="0"/>
        <w:rPr>
          <w:rFonts w:cs="Times New Roman"/>
          <w:b w:val="0"/>
          <w:bCs w:val="0"/>
          <w:caps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1C298B">
        <w:rPr>
          <w:b w:val="0"/>
          <w:caps w:val="0"/>
          <w:sz w:val="24"/>
          <w:szCs w:val="24"/>
        </w:rPr>
        <w:t xml:space="preserve">James Walton, Treasurer, on 01743 255011 </w:t>
      </w:r>
      <w:r w:rsidR="00FB4B9A">
        <w:rPr>
          <w:b w:val="0"/>
          <w:caps w:val="0"/>
          <w:sz w:val="24"/>
          <w:szCs w:val="24"/>
        </w:rPr>
        <w:t>or</w:t>
      </w:r>
      <w:r w:rsidR="00CD7850">
        <w:rPr>
          <w:b w:val="0"/>
          <w:caps w:val="0"/>
          <w:sz w:val="24"/>
          <w:szCs w:val="24"/>
        </w:rPr>
        <w:t xml:space="preserve"> </w:t>
      </w:r>
      <w:r w:rsidR="001C298B">
        <w:rPr>
          <w:b w:val="0"/>
          <w:caps w:val="0"/>
          <w:sz w:val="24"/>
          <w:szCs w:val="24"/>
        </w:rPr>
        <w:t>Joanne Coadey, Head of Finance, on 01743 260215</w:t>
      </w:r>
      <w:r w:rsidR="007D7800">
        <w:rPr>
          <w:rFonts w:cs="Times New Roman"/>
          <w:b w:val="0"/>
          <w:bCs w:val="0"/>
          <w:caps w:val="0"/>
          <w:snapToGrid w:val="0"/>
          <w:sz w:val="24"/>
          <w:szCs w:val="24"/>
          <w:lang w:eastAsia="en-US"/>
        </w:rPr>
        <w:t>.</w:t>
      </w:r>
      <w:r w:rsidR="004E0C2B">
        <w:fldChar w:fldCharType="begin"/>
      </w:r>
      <w:r w:rsidR="00336FE6">
        <w:instrText xml:space="preserve"> FILLIN  "TITLE OF REPORT"  \* MERGEFORMAT </w:instrText>
      </w:r>
      <w:r w:rsidR="004E0C2B">
        <w:fldChar w:fldCharType="end"/>
      </w:r>
    </w:p>
    <w:p w14:paraId="6C8A6D08" w14:textId="77777777" w:rsidR="00591426" w:rsidRPr="00A04037" w:rsidRDefault="00591426" w:rsidP="00F72E0D">
      <w:pPr>
        <w:widowControl w:val="0"/>
        <w:rPr>
          <w:rFonts w:ascii="Arial" w:hAnsi="Arial"/>
          <w:snapToGrid w:val="0"/>
          <w:lang w:eastAsia="en-US"/>
        </w:rPr>
      </w:pPr>
    </w:p>
    <w:p w14:paraId="6C8A6D09" w14:textId="77777777" w:rsidR="00591426" w:rsidRPr="00A04037" w:rsidRDefault="00591426" w:rsidP="00F72E0D"/>
    <w:p w14:paraId="6C8A6D0A" w14:textId="77777777" w:rsidR="00591426" w:rsidRDefault="00591426" w:rsidP="00F72E0D">
      <w:pPr>
        <w:pStyle w:val="sssubhead1"/>
      </w:pPr>
      <w:r>
        <w:t>Purpose of Report</w:t>
      </w:r>
    </w:p>
    <w:p w14:paraId="6C8A6D0B" w14:textId="77777777" w:rsidR="00117B5F" w:rsidRPr="00117B5F" w:rsidRDefault="00117B5F" w:rsidP="00117B5F">
      <w:pPr>
        <w:pStyle w:val="PlainText"/>
        <w:rPr>
          <w:rFonts w:ascii="Arial" w:hAnsi="Arial" w:cs="Arial"/>
          <w:sz w:val="24"/>
          <w:szCs w:val="24"/>
        </w:rPr>
      </w:pPr>
    </w:p>
    <w:p w14:paraId="6C8A6D0C" w14:textId="77777777" w:rsidR="00950F4C" w:rsidRPr="006D45C8" w:rsidRDefault="00950F4C" w:rsidP="00950F4C">
      <w:pPr>
        <w:pStyle w:val="PlainText"/>
        <w:ind w:left="720"/>
        <w:rPr>
          <w:rFonts w:ascii="Arial" w:hAnsi="Arial" w:cs="Arial"/>
          <w:sz w:val="24"/>
          <w:szCs w:val="24"/>
        </w:rPr>
      </w:pPr>
      <w:r>
        <w:rPr>
          <w:rFonts w:ascii="Arial" w:hAnsi="Arial" w:cs="Arial"/>
          <w:sz w:val="24"/>
          <w:szCs w:val="24"/>
        </w:rPr>
        <w:t>This report undertakes a full analysis of reserves and provisions, provides an assurance on the adequacy of reserves and provisions, and gives an assurance on the robustness of the budget.</w:t>
      </w:r>
    </w:p>
    <w:p w14:paraId="6C8A6D0D" w14:textId="77777777" w:rsidR="00A63658" w:rsidRDefault="00A63658" w:rsidP="00F72E0D">
      <w:pPr>
        <w:rPr>
          <w:rFonts w:ascii="Arial" w:hAnsi="Arial" w:cs="Arial"/>
        </w:rPr>
      </w:pPr>
    </w:p>
    <w:p w14:paraId="43B8E4C4" w14:textId="77777777" w:rsidR="00FC2C6E" w:rsidRPr="006D45C8" w:rsidRDefault="00FC2C6E" w:rsidP="00F72E0D">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44"/>
      </w:tblGrid>
      <w:tr w:rsidR="00591426" w14:paraId="6C8A6D1E" w14:textId="77777777" w:rsidTr="008A58DC">
        <w:tc>
          <w:tcPr>
            <w:tcW w:w="828" w:type="dxa"/>
            <w:tcBorders>
              <w:top w:val="nil"/>
              <w:left w:val="nil"/>
              <w:bottom w:val="nil"/>
            </w:tcBorders>
          </w:tcPr>
          <w:p w14:paraId="6C8A6D0E" w14:textId="77777777" w:rsidR="00591426" w:rsidRPr="000975D5" w:rsidRDefault="00591426" w:rsidP="00F72E0D">
            <w:pPr>
              <w:rPr>
                <w:rFonts w:ascii="Arial" w:hAnsi="Arial" w:cs="Arial"/>
                <w:sz w:val="22"/>
                <w:szCs w:val="22"/>
              </w:rPr>
            </w:pPr>
          </w:p>
          <w:p w14:paraId="6C8A6D0F" w14:textId="77777777" w:rsidR="00591426" w:rsidRDefault="00591426" w:rsidP="00F72E0D">
            <w:pPr>
              <w:pStyle w:val="sssubhead1"/>
            </w:pPr>
          </w:p>
        </w:tc>
        <w:tc>
          <w:tcPr>
            <w:tcW w:w="8244" w:type="dxa"/>
          </w:tcPr>
          <w:p w14:paraId="6C8A6D10" w14:textId="77777777" w:rsidR="00591426" w:rsidRPr="000975D5" w:rsidRDefault="00591426" w:rsidP="00F72E0D">
            <w:pPr>
              <w:rPr>
                <w:rFonts w:ascii="Arial" w:hAnsi="Arial" w:cs="Arial"/>
                <w:sz w:val="22"/>
                <w:szCs w:val="22"/>
              </w:rPr>
            </w:pPr>
          </w:p>
          <w:p w14:paraId="6C8A6D11"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6C8A6D12" w14:textId="77777777" w:rsidR="00591426" w:rsidRDefault="00591426" w:rsidP="00F72E0D">
            <w:pPr>
              <w:pStyle w:val="BodyTextIndent2"/>
              <w:ind w:left="0"/>
              <w:jc w:val="left"/>
              <w:rPr>
                <w:rFonts w:ascii="Arial" w:hAnsi="Arial" w:cs="Arial"/>
              </w:rPr>
            </w:pPr>
          </w:p>
          <w:p w14:paraId="6C8A6D13" w14:textId="77777777" w:rsidR="00B12EBD" w:rsidRPr="006D45C8" w:rsidRDefault="00B12EBD" w:rsidP="00B12EBD">
            <w:pPr>
              <w:pStyle w:val="BodyTextIndent2"/>
              <w:ind w:left="0"/>
              <w:jc w:val="left"/>
              <w:rPr>
                <w:rFonts w:ascii="Arial" w:hAnsi="Arial" w:cs="Arial"/>
              </w:rPr>
            </w:pPr>
            <w:r>
              <w:rPr>
                <w:rFonts w:ascii="Arial" w:hAnsi="Arial" w:cs="Arial"/>
              </w:rPr>
              <w:t>The Committee is asked:</w:t>
            </w:r>
          </w:p>
          <w:p w14:paraId="6C8A6D14" w14:textId="77777777" w:rsidR="00B12EBD" w:rsidRPr="006D45C8" w:rsidRDefault="00B12EBD" w:rsidP="00B12EBD">
            <w:pPr>
              <w:pStyle w:val="BodyTextIndent2"/>
              <w:ind w:left="0"/>
              <w:jc w:val="left"/>
              <w:rPr>
                <w:rFonts w:ascii="Arial" w:hAnsi="Arial" w:cs="Arial"/>
              </w:rPr>
            </w:pPr>
          </w:p>
          <w:p w14:paraId="6C8A6D15" w14:textId="77777777" w:rsidR="00B12EBD" w:rsidRDefault="00B12EBD" w:rsidP="00B12EBD">
            <w:pPr>
              <w:pStyle w:val="BodyTextIndent2"/>
              <w:numPr>
                <w:ilvl w:val="0"/>
                <w:numId w:val="20"/>
              </w:numPr>
              <w:tabs>
                <w:tab w:val="clear" w:pos="720"/>
                <w:tab w:val="num" w:pos="448"/>
              </w:tabs>
              <w:ind w:left="448" w:hanging="448"/>
              <w:jc w:val="left"/>
              <w:rPr>
                <w:rFonts w:ascii="Arial" w:hAnsi="Arial" w:cs="Arial"/>
              </w:rPr>
            </w:pPr>
            <w:r>
              <w:rPr>
                <w:rFonts w:ascii="Arial" w:hAnsi="Arial" w:cs="Arial"/>
              </w:rPr>
              <w:t>To recommend to the Fire Authority:</w:t>
            </w:r>
          </w:p>
          <w:p w14:paraId="6C8A6D16" w14:textId="77777777" w:rsidR="00B12EBD" w:rsidRDefault="00B12EBD" w:rsidP="00B12EBD">
            <w:pPr>
              <w:pStyle w:val="BodyTextIndent2"/>
              <w:ind w:left="0"/>
              <w:jc w:val="left"/>
              <w:rPr>
                <w:rFonts w:ascii="Arial" w:hAnsi="Arial" w:cs="Arial"/>
              </w:rPr>
            </w:pPr>
          </w:p>
          <w:p w14:paraId="6C8A6D17" w14:textId="77777777" w:rsidR="00B12EBD" w:rsidRDefault="00B12EBD" w:rsidP="00B12EBD">
            <w:pPr>
              <w:pStyle w:val="BodyTextIndent2"/>
              <w:numPr>
                <w:ilvl w:val="1"/>
                <w:numId w:val="20"/>
              </w:numPr>
              <w:tabs>
                <w:tab w:val="clear" w:pos="1800"/>
                <w:tab w:val="num" w:pos="873"/>
              </w:tabs>
              <w:ind w:left="873" w:hanging="425"/>
              <w:jc w:val="left"/>
              <w:rPr>
                <w:rFonts w:ascii="Arial" w:hAnsi="Arial" w:cs="Arial"/>
              </w:rPr>
            </w:pPr>
            <w:r>
              <w:rPr>
                <w:rFonts w:ascii="Arial" w:hAnsi="Arial" w:cs="Arial"/>
              </w:rPr>
              <w:t>The reserves and provisions, as set out in the appendix to the report; and</w:t>
            </w:r>
          </w:p>
          <w:p w14:paraId="6C8A6D18" w14:textId="77777777" w:rsidR="00B12EBD" w:rsidRDefault="00B12EBD" w:rsidP="00B12EBD">
            <w:pPr>
              <w:pStyle w:val="BodyTextIndent2"/>
              <w:numPr>
                <w:ilvl w:val="1"/>
                <w:numId w:val="20"/>
              </w:numPr>
              <w:tabs>
                <w:tab w:val="clear" w:pos="1800"/>
                <w:tab w:val="num" w:pos="873"/>
              </w:tabs>
              <w:ind w:left="873" w:hanging="425"/>
              <w:jc w:val="left"/>
              <w:rPr>
                <w:rFonts w:ascii="Arial" w:hAnsi="Arial" w:cs="Arial"/>
              </w:rPr>
            </w:pPr>
            <w:r>
              <w:rPr>
                <w:rFonts w:ascii="Arial" w:hAnsi="Arial" w:cs="Arial"/>
              </w:rPr>
              <w:t>The Treasurer’s assurances covering the robustness of the 201</w:t>
            </w:r>
            <w:r w:rsidR="000629F5">
              <w:rPr>
                <w:rFonts w:ascii="Arial" w:hAnsi="Arial" w:cs="Arial"/>
              </w:rPr>
              <w:t>5</w:t>
            </w:r>
            <w:r>
              <w:rPr>
                <w:rFonts w:ascii="Arial" w:hAnsi="Arial" w:cs="Arial"/>
              </w:rPr>
              <w:t>/1</w:t>
            </w:r>
            <w:r w:rsidR="000629F5">
              <w:rPr>
                <w:rFonts w:ascii="Arial" w:hAnsi="Arial" w:cs="Arial"/>
              </w:rPr>
              <w:t>6</w:t>
            </w:r>
            <w:r>
              <w:rPr>
                <w:rFonts w:ascii="Arial" w:hAnsi="Arial" w:cs="Arial"/>
              </w:rPr>
              <w:t xml:space="preserve"> budget and adequacy of the reserves and provisions;</w:t>
            </w:r>
          </w:p>
          <w:p w14:paraId="6C8A6D19" w14:textId="77777777" w:rsidR="00B12EBD" w:rsidRDefault="00B12EBD" w:rsidP="00B12EBD">
            <w:pPr>
              <w:pStyle w:val="BodyTextIndent2"/>
              <w:ind w:left="448"/>
              <w:jc w:val="left"/>
              <w:rPr>
                <w:rFonts w:ascii="Arial" w:hAnsi="Arial" w:cs="Arial"/>
              </w:rPr>
            </w:pPr>
          </w:p>
          <w:p w14:paraId="6C8A6D1A" w14:textId="77777777" w:rsidR="00B12EBD" w:rsidRDefault="00B12EBD" w:rsidP="00B12EBD">
            <w:pPr>
              <w:pStyle w:val="BodyTextIndent2"/>
              <w:ind w:left="448"/>
              <w:jc w:val="left"/>
              <w:rPr>
                <w:rFonts w:ascii="Arial" w:hAnsi="Arial" w:cs="Arial"/>
              </w:rPr>
            </w:pPr>
            <w:r>
              <w:rPr>
                <w:rFonts w:ascii="Arial" w:hAnsi="Arial" w:cs="Arial"/>
              </w:rPr>
              <w:t>and</w:t>
            </w:r>
          </w:p>
          <w:p w14:paraId="6C8A6D1B" w14:textId="77777777" w:rsidR="00B12EBD" w:rsidRDefault="00B12EBD" w:rsidP="00B12EBD">
            <w:pPr>
              <w:pStyle w:val="BodyTextIndent2"/>
              <w:ind w:left="0"/>
              <w:jc w:val="left"/>
              <w:rPr>
                <w:rFonts w:ascii="Arial" w:hAnsi="Arial" w:cs="Arial"/>
              </w:rPr>
            </w:pPr>
          </w:p>
          <w:p w14:paraId="6C8A6D1C" w14:textId="77777777" w:rsidR="009C7FA8" w:rsidRPr="00B12EBD" w:rsidRDefault="00B12EBD" w:rsidP="00B12EBD">
            <w:pPr>
              <w:pStyle w:val="BodyTextIndent2"/>
              <w:numPr>
                <w:ilvl w:val="0"/>
                <w:numId w:val="20"/>
              </w:numPr>
              <w:tabs>
                <w:tab w:val="clear" w:pos="720"/>
                <w:tab w:val="num" w:pos="448"/>
              </w:tabs>
              <w:ind w:left="448" w:hanging="448"/>
              <w:jc w:val="left"/>
              <w:rPr>
                <w:rFonts w:ascii="Arial" w:hAnsi="Arial" w:cs="Arial"/>
              </w:rPr>
            </w:pPr>
            <w:r>
              <w:rPr>
                <w:rFonts w:ascii="Arial" w:hAnsi="Arial" w:cs="Arial"/>
              </w:rPr>
              <w:t>To note the material uncertainties from 201</w:t>
            </w:r>
            <w:r w:rsidR="000629F5">
              <w:rPr>
                <w:rFonts w:ascii="Arial" w:hAnsi="Arial" w:cs="Arial"/>
              </w:rPr>
              <w:t>6</w:t>
            </w:r>
            <w:r>
              <w:rPr>
                <w:rFonts w:ascii="Arial" w:hAnsi="Arial" w:cs="Arial"/>
              </w:rPr>
              <w:t>/1</w:t>
            </w:r>
            <w:r w:rsidR="000629F5">
              <w:rPr>
                <w:rFonts w:ascii="Arial" w:hAnsi="Arial" w:cs="Arial"/>
              </w:rPr>
              <w:t>7</w:t>
            </w:r>
            <w:r>
              <w:rPr>
                <w:rFonts w:ascii="Arial" w:hAnsi="Arial" w:cs="Arial"/>
              </w:rPr>
              <w:t xml:space="preserve"> onwards.</w:t>
            </w:r>
          </w:p>
          <w:p w14:paraId="6C8A6D1D" w14:textId="77777777" w:rsidR="00591426" w:rsidRDefault="00591426" w:rsidP="00F72E0D"/>
        </w:tc>
      </w:tr>
    </w:tbl>
    <w:p w14:paraId="6C8A6D1F" w14:textId="77777777" w:rsidR="00A63658" w:rsidRDefault="00A63658" w:rsidP="00F72E0D">
      <w:pPr>
        <w:rPr>
          <w:rFonts w:ascii="Arial" w:hAnsi="Arial" w:cs="Arial"/>
        </w:rPr>
      </w:pPr>
    </w:p>
    <w:p w14:paraId="0C16777B" w14:textId="77777777" w:rsidR="00FC2C6E" w:rsidRPr="006D45C8" w:rsidRDefault="00FC2C6E" w:rsidP="00F72E0D">
      <w:pPr>
        <w:rPr>
          <w:rFonts w:ascii="Arial" w:hAnsi="Arial" w:cs="Arial"/>
        </w:rPr>
      </w:pPr>
    </w:p>
    <w:p w14:paraId="6C8A6D20" w14:textId="77777777" w:rsidR="00591426" w:rsidRDefault="00591426" w:rsidP="00F72E0D">
      <w:pPr>
        <w:pStyle w:val="sssubhead1"/>
      </w:pPr>
      <w:r>
        <w:t>Background</w:t>
      </w:r>
    </w:p>
    <w:p w14:paraId="6C8A6D21" w14:textId="77777777" w:rsidR="00591426" w:rsidRPr="006D45C8" w:rsidRDefault="00591426" w:rsidP="00F72E0D">
      <w:pPr>
        <w:rPr>
          <w:rFonts w:ascii="Arial" w:hAnsi="Arial" w:cs="Arial"/>
        </w:rPr>
      </w:pPr>
    </w:p>
    <w:p w14:paraId="6C8A6D22" w14:textId="77777777" w:rsidR="000D7A31" w:rsidRDefault="000D7A31" w:rsidP="000D7A31">
      <w:pPr>
        <w:ind w:left="720"/>
        <w:rPr>
          <w:rFonts w:ascii="Arial" w:hAnsi="Arial" w:cs="Arial"/>
        </w:rPr>
      </w:pPr>
      <w:r>
        <w:rPr>
          <w:rFonts w:ascii="Arial" w:hAnsi="Arial" w:cs="Arial"/>
        </w:rPr>
        <w:t>The Chief Finance Officer is required, under section 25 of the Local Government Act 2003, to report on the robustness of estimates and adequacy of reserves.</w:t>
      </w:r>
    </w:p>
    <w:p w14:paraId="6C8A6D23" w14:textId="77777777" w:rsidR="000D7A31" w:rsidRDefault="000D7A31" w:rsidP="000D7A31">
      <w:pPr>
        <w:ind w:left="720"/>
        <w:rPr>
          <w:rFonts w:ascii="Arial" w:hAnsi="Arial" w:cs="Arial"/>
        </w:rPr>
      </w:pPr>
    </w:p>
    <w:p w14:paraId="6C8A6D24" w14:textId="77777777" w:rsidR="000D7A31" w:rsidRDefault="000D7A31" w:rsidP="000D7A31">
      <w:pPr>
        <w:ind w:left="720"/>
        <w:rPr>
          <w:rFonts w:ascii="Arial" w:hAnsi="Arial" w:cs="Arial"/>
        </w:rPr>
      </w:pPr>
      <w:r>
        <w:rPr>
          <w:rFonts w:ascii="Arial" w:hAnsi="Arial" w:cs="Arial"/>
        </w:rPr>
        <w:t xml:space="preserve">This is also linked to the requirement of the Prudential Code that authorities should have full regard to affordability, when making recommendations about </w:t>
      </w:r>
      <w:bookmarkStart w:id="0" w:name="_GoBack"/>
      <w:bookmarkEnd w:id="0"/>
      <w:r>
        <w:rPr>
          <w:rFonts w:ascii="Arial" w:hAnsi="Arial" w:cs="Arial"/>
        </w:rPr>
        <w:t>future capital programmes.</w:t>
      </w:r>
    </w:p>
    <w:p w14:paraId="1115A987" w14:textId="77777777" w:rsidR="00FC2C6E" w:rsidRDefault="000D7A31" w:rsidP="000D7A31">
      <w:pPr>
        <w:ind w:left="720"/>
        <w:rPr>
          <w:rFonts w:ascii="Arial" w:hAnsi="Arial" w:cs="Arial"/>
        </w:rPr>
      </w:pPr>
      <w:r>
        <w:rPr>
          <w:rFonts w:ascii="Arial" w:hAnsi="Arial" w:cs="Arial"/>
        </w:rPr>
        <w:lastRenderedPageBreak/>
        <w:t>The Chartered Institute of Public Finance and Accountancy (CIPFA) has issued a Guidance Note on Local Authority reserves and balances (LAAP Bulletin 55), which is reflected in this report.  The Bulletin states that it is contrary to the freedoms of local authorities for an external body to impose general minimum or maximum levels of reserves, as there is a broad range, within which authori</w:t>
      </w:r>
      <w:r w:rsidR="00FC2C6E">
        <w:rPr>
          <w:rFonts w:ascii="Arial" w:hAnsi="Arial" w:cs="Arial"/>
        </w:rPr>
        <w:t>ties might reasonably operate.</w:t>
      </w:r>
    </w:p>
    <w:p w14:paraId="5BCC9D79" w14:textId="77777777" w:rsidR="00FC2C6E" w:rsidRDefault="00FC2C6E" w:rsidP="000D7A31">
      <w:pPr>
        <w:ind w:left="720"/>
        <w:rPr>
          <w:rFonts w:ascii="Arial" w:hAnsi="Arial" w:cs="Arial"/>
        </w:rPr>
      </w:pPr>
    </w:p>
    <w:p w14:paraId="6C8A6D26" w14:textId="07156B93" w:rsidR="000D7A31" w:rsidRDefault="000D7A31" w:rsidP="000D7A31">
      <w:pPr>
        <w:ind w:left="720"/>
        <w:rPr>
          <w:rFonts w:ascii="Arial" w:hAnsi="Arial" w:cs="Arial"/>
        </w:rPr>
      </w:pPr>
      <w:r>
        <w:rPr>
          <w:rFonts w:ascii="Arial" w:hAnsi="Arial" w:cs="Arial"/>
        </w:rPr>
        <w:t>The Bulletin does say that reserves should be not only adequate but also necessary.  It also reminds authorities of the power of Government to set a minimum level of reserves, and that Government has undertaken not to impose such a level, unless an authority does not act prudently, ignores advice, and is heading for serious financial difficulty.</w:t>
      </w:r>
    </w:p>
    <w:p w14:paraId="6C8A6D27" w14:textId="77777777" w:rsidR="009C7FA8" w:rsidRPr="006D45C8" w:rsidRDefault="009C7FA8" w:rsidP="00F72E0D">
      <w:pPr>
        <w:rPr>
          <w:rFonts w:ascii="Arial" w:hAnsi="Arial" w:cs="Arial"/>
        </w:rPr>
      </w:pPr>
    </w:p>
    <w:p w14:paraId="6C8A6D28" w14:textId="77777777" w:rsidR="000D7A31" w:rsidRDefault="000D7A31" w:rsidP="000D7A31">
      <w:pPr>
        <w:pStyle w:val="sssubhead1"/>
      </w:pPr>
      <w:r w:rsidRPr="00C65A66">
        <w:t>Major Risks and</w:t>
      </w:r>
      <w:r w:rsidRPr="006F4E59">
        <w:t xml:space="preserve"> </w:t>
      </w:r>
      <w:r w:rsidRPr="00C65A66">
        <w:t>Uncertainties</w:t>
      </w:r>
    </w:p>
    <w:p w14:paraId="6C8A6D29" w14:textId="77777777" w:rsidR="000D7A31" w:rsidRPr="00C91274" w:rsidRDefault="000D7A31" w:rsidP="000D7A31">
      <w:pPr>
        <w:rPr>
          <w:rFonts w:ascii="Arial" w:hAnsi="Arial" w:cs="Arial"/>
        </w:rPr>
      </w:pPr>
    </w:p>
    <w:p w14:paraId="6C8A6D2A" w14:textId="670FD819" w:rsidR="000D7A31" w:rsidRDefault="000D7A31" w:rsidP="00A63658">
      <w:pPr>
        <w:ind w:left="720"/>
        <w:rPr>
          <w:rFonts w:ascii="Arial" w:hAnsi="Arial" w:cs="Arial"/>
        </w:rPr>
      </w:pPr>
      <w:r>
        <w:rPr>
          <w:rFonts w:ascii="Arial" w:hAnsi="Arial" w:cs="Arial"/>
        </w:rPr>
        <w:t xml:space="preserve">As part of the budget setting process, a review of reserves ensures that all </w:t>
      </w:r>
      <w:r w:rsidRPr="005E53F4">
        <w:rPr>
          <w:rFonts w:ascii="Arial" w:hAnsi="Arial" w:cs="Arial"/>
        </w:rPr>
        <w:t>identified</w:t>
      </w:r>
      <w:r w:rsidR="00FC2C6E">
        <w:rPr>
          <w:rFonts w:ascii="Arial" w:hAnsi="Arial" w:cs="Arial"/>
        </w:rPr>
        <w:t>,</w:t>
      </w:r>
      <w:r w:rsidRPr="005E53F4">
        <w:rPr>
          <w:rFonts w:ascii="Arial" w:hAnsi="Arial" w:cs="Arial"/>
        </w:rPr>
        <w:t xml:space="preserve"> foreseeable</w:t>
      </w:r>
      <w:r w:rsidR="00FC2C6E">
        <w:rPr>
          <w:rFonts w:ascii="Arial" w:hAnsi="Arial" w:cs="Arial"/>
        </w:rPr>
        <w:t>,</w:t>
      </w:r>
      <w:r w:rsidRPr="005E53F4">
        <w:rPr>
          <w:rFonts w:ascii="Arial" w:hAnsi="Arial" w:cs="Arial"/>
        </w:rPr>
        <w:t xml:space="preserve"> major risks and uncertainties</w:t>
      </w:r>
      <w:r w:rsidR="00A63658">
        <w:rPr>
          <w:rFonts w:ascii="Arial" w:hAnsi="Arial" w:cs="Arial"/>
        </w:rPr>
        <w:t xml:space="preserve"> are taken into account.  </w:t>
      </w:r>
      <w:r>
        <w:rPr>
          <w:rFonts w:ascii="Arial" w:hAnsi="Arial" w:cs="Arial"/>
        </w:rPr>
        <w:t>These are:</w:t>
      </w:r>
    </w:p>
    <w:p w14:paraId="6C8A6D2B" w14:textId="77777777" w:rsidR="000D7A31" w:rsidRDefault="000D7A31" w:rsidP="000D7A31">
      <w:pPr>
        <w:ind w:left="720"/>
        <w:rPr>
          <w:rFonts w:ascii="Arial" w:hAnsi="Arial" w:cs="Arial"/>
        </w:rPr>
      </w:pPr>
    </w:p>
    <w:p w14:paraId="6C8A6D2C" w14:textId="227C0470" w:rsidR="000D7A31" w:rsidRDefault="000D7A31" w:rsidP="000D7A31">
      <w:pPr>
        <w:numPr>
          <w:ilvl w:val="0"/>
          <w:numId w:val="21"/>
        </w:numPr>
        <w:tabs>
          <w:tab w:val="clear" w:pos="1440"/>
          <w:tab w:val="num" w:pos="1276"/>
        </w:tabs>
        <w:ind w:left="1276" w:hanging="567"/>
        <w:rPr>
          <w:rFonts w:ascii="Arial" w:hAnsi="Arial" w:cs="Arial"/>
        </w:rPr>
      </w:pPr>
      <w:r>
        <w:rPr>
          <w:rFonts w:ascii="Arial" w:hAnsi="Arial" w:cs="Arial"/>
        </w:rPr>
        <w:t xml:space="preserve">The implications for current </w:t>
      </w:r>
      <w:r w:rsidR="00FC2C6E">
        <w:rPr>
          <w:rFonts w:ascii="Arial" w:hAnsi="Arial" w:cs="Arial"/>
        </w:rPr>
        <w:t>information and communications technology (</w:t>
      </w:r>
      <w:r>
        <w:rPr>
          <w:rFonts w:ascii="Arial" w:hAnsi="Arial" w:cs="Arial"/>
        </w:rPr>
        <w:t>I</w:t>
      </w:r>
      <w:r w:rsidR="00FC2C6E">
        <w:rPr>
          <w:rFonts w:ascii="Arial" w:hAnsi="Arial" w:cs="Arial"/>
        </w:rPr>
        <w:t>C</w:t>
      </w:r>
      <w:r>
        <w:rPr>
          <w:rFonts w:ascii="Arial" w:hAnsi="Arial" w:cs="Arial"/>
        </w:rPr>
        <w:t>T</w:t>
      </w:r>
      <w:r w:rsidR="00FC2C6E">
        <w:rPr>
          <w:rFonts w:ascii="Arial" w:hAnsi="Arial" w:cs="Arial"/>
        </w:rPr>
        <w:t>)</w:t>
      </w:r>
      <w:r>
        <w:rPr>
          <w:rFonts w:ascii="Arial" w:hAnsi="Arial" w:cs="Arial"/>
        </w:rPr>
        <w:t xml:space="preserve"> services;</w:t>
      </w:r>
    </w:p>
    <w:p w14:paraId="6C8A6D2D" w14:textId="0AC2F1D1" w:rsidR="000D7A31" w:rsidRDefault="000D7A31" w:rsidP="000D7A31">
      <w:pPr>
        <w:numPr>
          <w:ilvl w:val="0"/>
          <w:numId w:val="21"/>
        </w:numPr>
        <w:tabs>
          <w:tab w:val="clear" w:pos="1440"/>
          <w:tab w:val="num" w:pos="1276"/>
        </w:tabs>
        <w:ind w:left="1276" w:hanging="567"/>
        <w:rPr>
          <w:rFonts w:ascii="Arial" w:hAnsi="Arial" w:cs="Arial"/>
        </w:rPr>
      </w:pPr>
      <w:r>
        <w:rPr>
          <w:rFonts w:ascii="Arial" w:hAnsi="Arial" w:cs="Arial"/>
        </w:rPr>
        <w:t>Sustainability of the current I</w:t>
      </w:r>
      <w:r w:rsidR="00FC2C6E">
        <w:rPr>
          <w:rFonts w:ascii="Arial" w:hAnsi="Arial" w:cs="Arial"/>
        </w:rPr>
        <w:t>C</w:t>
      </w:r>
      <w:r>
        <w:rPr>
          <w:rFonts w:ascii="Arial" w:hAnsi="Arial" w:cs="Arial"/>
        </w:rPr>
        <w:t>T infrastructure, and support f</w:t>
      </w:r>
      <w:r w:rsidR="00A63658">
        <w:rPr>
          <w:rFonts w:ascii="Arial" w:hAnsi="Arial" w:cs="Arial"/>
        </w:rPr>
        <w:t>or replacement of new systems;</w:t>
      </w:r>
    </w:p>
    <w:p w14:paraId="6C8A6D2E" w14:textId="77777777" w:rsidR="000D7A31" w:rsidRDefault="000D7A31" w:rsidP="000D7A31">
      <w:pPr>
        <w:numPr>
          <w:ilvl w:val="0"/>
          <w:numId w:val="21"/>
        </w:numPr>
        <w:tabs>
          <w:tab w:val="clear" w:pos="1440"/>
          <w:tab w:val="num" w:pos="1276"/>
        </w:tabs>
        <w:ind w:left="1276" w:hanging="567"/>
        <w:rPr>
          <w:rFonts w:ascii="Arial" w:hAnsi="Arial" w:cs="Arial"/>
        </w:rPr>
      </w:pPr>
      <w:r>
        <w:rPr>
          <w:rFonts w:ascii="Arial" w:hAnsi="Arial" w:cs="Arial"/>
        </w:rPr>
        <w:t>Implications of the current financial situation, particularly the review of central government funding of local authorities; and</w:t>
      </w:r>
    </w:p>
    <w:p w14:paraId="6C8A6D2F" w14:textId="5CCD3A56" w:rsidR="000D7A31" w:rsidRDefault="00FC2C6E" w:rsidP="000D7A31">
      <w:pPr>
        <w:numPr>
          <w:ilvl w:val="0"/>
          <w:numId w:val="21"/>
        </w:numPr>
        <w:tabs>
          <w:tab w:val="clear" w:pos="1440"/>
          <w:tab w:val="num" w:pos="1276"/>
        </w:tabs>
        <w:ind w:left="1276" w:hanging="567"/>
        <w:rPr>
          <w:rFonts w:ascii="Arial" w:hAnsi="Arial" w:cs="Arial"/>
        </w:rPr>
      </w:pPr>
      <w:r>
        <w:rPr>
          <w:rFonts w:ascii="Arial" w:hAnsi="Arial" w:cs="Arial"/>
        </w:rPr>
        <w:t>Linked to (c</w:t>
      </w:r>
      <w:r w:rsidR="000D7A31">
        <w:rPr>
          <w:rFonts w:ascii="Arial" w:hAnsi="Arial" w:cs="Arial"/>
        </w:rPr>
        <w:t xml:space="preserve">) above, the risk of </w:t>
      </w:r>
      <w:r w:rsidR="000629F5">
        <w:rPr>
          <w:rFonts w:ascii="Arial" w:hAnsi="Arial" w:cs="Arial"/>
        </w:rPr>
        <w:t>precept increases being limited,</w:t>
      </w:r>
      <w:r w:rsidR="000D7A31">
        <w:rPr>
          <w:rFonts w:ascii="Arial" w:hAnsi="Arial" w:cs="Arial"/>
        </w:rPr>
        <w:t xml:space="preserve"> to be superseded by tests of excessiveness and the risk of triggering local referenda. </w:t>
      </w:r>
    </w:p>
    <w:p w14:paraId="6C8A6D30" w14:textId="77777777" w:rsidR="000D7A31" w:rsidRDefault="000D7A31" w:rsidP="000D7A31">
      <w:pPr>
        <w:ind w:left="720"/>
        <w:rPr>
          <w:rFonts w:ascii="Arial" w:hAnsi="Arial" w:cs="Arial"/>
        </w:rPr>
      </w:pPr>
    </w:p>
    <w:p w14:paraId="6C8A6D31" w14:textId="77777777" w:rsidR="00591426" w:rsidRDefault="0092729E" w:rsidP="00F72E0D">
      <w:pPr>
        <w:pStyle w:val="sssubhead1"/>
        <w:jc w:val="both"/>
      </w:pPr>
      <w:r>
        <w:t>Overview of the Reserves Strategy</w:t>
      </w:r>
    </w:p>
    <w:p w14:paraId="6C8A6D32" w14:textId="77777777" w:rsidR="00591426" w:rsidRDefault="00591426" w:rsidP="00A63658">
      <w:pPr>
        <w:pStyle w:val="BodyTextIndent"/>
      </w:pPr>
    </w:p>
    <w:p w14:paraId="6C8A6D33" w14:textId="77777777" w:rsidR="0092729E" w:rsidRPr="006C09C3" w:rsidRDefault="0092729E" w:rsidP="00A63658">
      <w:pPr>
        <w:ind w:left="720"/>
        <w:rPr>
          <w:rFonts w:ascii="Arial" w:hAnsi="Arial" w:cs="Arial"/>
        </w:rPr>
      </w:pPr>
      <w:r w:rsidRPr="006C09C3">
        <w:rPr>
          <w:rFonts w:ascii="Arial" w:hAnsi="Arial" w:cs="Arial"/>
        </w:rPr>
        <w:t xml:space="preserve">The Fire Authority has set out its financial strategy to 2019/20 in </w:t>
      </w:r>
      <w:r w:rsidRPr="00FC2C6E">
        <w:rPr>
          <w:rFonts w:ascii="Arial" w:hAnsi="Arial" w:cs="Arial"/>
        </w:rPr>
        <w:t>its Medium Term Financial Plan, and its reserves policy is an integral part of this</w:t>
      </w:r>
      <w:r w:rsidRPr="006C09C3">
        <w:rPr>
          <w:rFonts w:ascii="Arial" w:hAnsi="Arial" w:cs="Arial"/>
        </w:rPr>
        <w:t xml:space="preserve"> </w:t>
      </w:r>
      <w:r w:rsidR="00A63658">
        <w:rPr>
          <w:rFonts w:ascii="Arial" w:hAnsi="Arial" w:cs="Arial"/>
        </w:rPr>
        <w:t>P</w:t>
      </w:r>
      <w:r>
        <w:rPr>
          <w:rFonts w:ascii="Arial" w:hAnsi="Arial" w:cs="Arial"/>
        </w:rPr>
        <w:t>lan</w:t>
      </w:r>
      <w:r w:rsidRPr="006C09C3">
        <w:rPr>
          <w:rFonts w:ascii="Arial" w:hAnsi="Arial" w:cs="Arial"/>
        </w:rPr>
        <w:t xml:space="preserve">. </w:t>
      </w:r>
      <w:r w:rsidR="00A63658">
        <w:rPr>
          <w:rFonts w:ascii="Arial" w:hAnsi="Arial" w:cs="Arial"/>
        </w:rPr>
        <w:t xml:space="preserve"> </w:t>
      </w:r>
      <w:r w:rsidRPr="006C09C3">
        <w:rPr>
          <w:rFonts w:ascii="Arial" w:hAnsi="Arial" w:cs="Arial"/>
        </w:rPr>
        <w:t>The level of reserves that the Authority holds has been driven by the following principles:</w:t>
      </w:r>
    </w:p>
    <w:p w14:paraId="6C8A6D34" w14:textId="77777777" w:rsidR="00A63658" w:rsidRDefault="00A63658" w:rsidP="00A63658">
      <w:pPr>
        <w:ind w:left="709"/>
        <w:rPr>
          <w:rFonts w:ascii="Arial" w:hAnsi="Arial" w:cs="Arial"/>
          <w:b/>
        </w:rPr>
      </w:pPr>
    </w:p>
    <w:p w14:paraId="6C8A6D35" w14:textId="77777777" w:rsidR="00A63658" w:rsidRDefault="0092729E" w:rsidP="00A63658">
      <w:pPr>
        <w:ind w:left="709"/>
        <w:rPr>
          <w:rFonts w:ascii="Arial" w:hAnsi="Arial" w:cs="Arial"/>
          <w:b/>
        </w:rPr>
      </w:pPr>
      <w:r w:rsidRPr="00A63658">
        <w:rPr>
          <w:rFonts w:ascii="Arial" w:hAnsi="Arial" w:cs="Arial"/>
          <w:b/>
        </w:rPr>
        <w:t>To fund major projects, thereby avoiding debt charges into the long term</w:t>
      </w:r>
    </w:p>
    <w:p w14:paraId="6C8A6D36" w14:textId="77777777" w:rsidR="00FB5173" w:rsidRDefault="00FB5173" w:rsidP="00A63658">
      <w:pPr>
        <w:ind w:left="709"/>
        <w:rPr>
          <w:rFonts w:ascii="Arial" w:hAnsi="Arial" w:cs="Arial"/>
        </w:rPr>
      </w:pPr>
    </w:p>
    <w:p w14:paraId="6C8A6D37" w14:textId="77777777" w:rsidR="00A63658" w:rsidRDefault="0092729E" w:rsidP="00A63658">
      <w:pPr>
        <w:ind w:left="709"/>
        <w:rPr>
          <w:rFonts w:ascii="Arial" w:hAnsi="Arial" w:cs="Arial"/>
        </w:rPr>
      </w:pPr>
      <w:r w:rsidRPr="00A63658">
        <w:rPr>
          <w:rFonts w:ascii="Arial" w:hAnsi="Arial" w:cs="Arial"/>
        </w:rPr>
        <w:t>The Authority has used reserves successfully in recent years to fund its capital programme, most notably the fire station, workshop and headquarters in Shrewsbury.  By using capital reserves to fund the refurbishment of the site, this has led to a reduction in the revenue budget of over £250,000 over a four</w:t>
      </w:r>
      <w:r w:rsidR="00A63658">
        <w:rPr>
          <w:rFonts w:ascii="Arial" w:hAnsi="Arial" w:cs="Arial"/>
        </w:rPr>
        <w:t>-</w:t>
      </w:r>
      <w:r w:rsidRPr="00A63658">
        <w:rPr>
          <w:rFonts w:ascii="Arial" w:hAnsi="Arial" w:cs="Arial"/>
        </w:rPr>
        <w:t xml:space="preserve">year period. </w:t>
      </w:r>
      <w:r w:rsidR="00A63658">
        <w:rPr>
          <w:rFonts w:ascii="Arial" w:hAnsi="Arial" w:cs="Arial"/>
        </w:rPr>
        <w:t xml:space="preserve"> </w:t>
      </w:r>
      <w:r w:rsidRPr="00A63658">
        <w:rPr>
          <w:rFonts w:ascii="Arial" w:hAnsi="Arial" w:cs="Arial"/>
        </w:rPr>
        <w:t>The Capital reserves and the ICT reserve will continue to be used to fund the capital programme int</w:t>
      </w:r>
      <w:r w:rsidR="00A63658">
        <w:rPr>
          <w:rFonts w:ascii="Arial" w:hAnsi="Arial" w:cs="Arial"/>
        </w:rPr>
        <w:t>o the medium term, with any one-</w:t>
      </w:r>
      <w:r w:rsidRPr="00A63658">
        <w:rPr>
          <w:rFonts w:ascii="Arial" w:hAnsi="Arial" w:cs="Arial"/>
        </w:rPr>
        <w:t>off savings identified used to replace funds.</w:t>
      </w:r>
    </w:p>
    <w:p w14:paraId="6C8A6D38" w14:textId="77777777" w:rsidR="00A63658" w:rsidRDefault="00A63658" w:rsidP="00A63658">
      <w:pPr>
        <w:ind w:left="709"/>
        <w:rPr>
          <w:rFonts w:ascii="Arial" w:hAnsi="Arial" w:cs="Arial"/>
        </w:rPr>
      </w:pPr>
    </w:p>
    <w:p w14:paraId="6C8A6D39" w14:textId="77777777" w:rsidR="00FB5173" w:rsidRDefault="0092729E" w:rsidP="000629F5">
      <w:pPr>
        <w:ind w:left="709"/>
        <w:rPr>
          <w:rFonts w:ascii="Arial" w:hAnsi="Arial" w:cs="Arial"/>
          <w:b/>
        </w:rPr>
      </w:pPr>
      <w:r w:rsidRPr="00A63658">
        <w:rPr>
          <w:rFonts w:ascii="Arial" w:hAnsi="Arial" w:cs="Arial"/>
          <w:b/>
        </w:rPr>
        <w:t>To fund unexpected and undetermined expenditure that cannot be m</w:t>
      </w:r>
      <w:r w:rsidR="00A63658">
        <w:rPr>
          <w:rFonts w:ascii="Arial" w:hAnsi="Arial" w:cs="Arial"/>
          <w:b/>
        </w:rPr>
        <w:t>et by a reducing revenue budget</w:t>
      </w:r>
    </w:p>
    <w:p w14:paraId="6C8A6D3A" w14:textId="77777777" w:rsidR="000629F5" w:rsidRPr="000629F5" w:rsidRDefault="000629F5" w:rsidP="000629F5">
      <w:pPr>
        <w:ind w:left="709"/>
        <w:rPr>
          <w:rFonts w:ascii="Arial" w:hAnsi="Arial" w:cs="Arial"/>
          <w:b/>
        </w:rPr>
      </w:pPr>
    </w:p>
    <w:p w14:paraId="6C8A6D3B" w14:textId="77777777" w:rsidR="00FB5173" w:rsidRDefault="000629F5" w:rsidP="00FB5173">
      <w:pPr>
        <w:ind w:left="709"/>
        <w:rPr>
          <w:rFonts w:ascii="Arial" w:hAnsi="Arial" w:cs="Arial"/>
        </w:rPr>
      </w:pPr>
      <w:r>
        <w:rPr>
          <w:rFonts w:ascii="Arial" w:hAnsi="Arial" w:cs="Arial"/>
        </w:rPr>
        <w:t>The Extreme Weather and Operational Incidents Reserve is in place to meet expenditure incurred when the Service responds to large and unexpected local, regional and national incidents.</w:t>
      </w:r>
    </w:p>
    <w:p w14:paraId="6C8A6D3C" w14:textId="77777777" w:rsidR="000629F5" w:rsidRDefault="000629F5">
      <w:pPr>
        <w:rPr>
          <w:rFonts w:ascii="Arial" w:hAnsi="Arial" w:cs="Arial"/>
        </w:rPr>
      </w:pPr>
      <w:r>
        <w:rPr>
          <w:rFonts w:ascii="Arial" w:hAnsi="Arial" w:cs="Arial"/>
        </w:rPr>
        <w:br w:type="page"/>
      </w:r>
    </w:p>
    <w:p w14:paraId="6C8A6D3E" w14:textId="77777777" w:rsidR="00FB5173" w:rsidRDefault="0092729E" w:rsidP="00FB5173">
      <w:pPr>
        <w:ind w:left="709"/>
        <w:rPr>
          <w:rFonts w:ascii="Arial" w:hAnsi="Arial" w:cs="Arial"/>
          <w:b/>
        </w:rPr>
      </w:pPr>
      <w:r w:rsidRPr="00FB5173">
        <w:rPr>
          <w:rFonts w:ascii="Arial" w:hAnsi="Arial" w:cs="Arial"/>
          <w:b/>
        </w:rPr>
        <w:lastRenderedPageBreak/>
        <w:t>To support revenue expenditure and smooth out flu</w:t>
      </w:r>
      <w:r w:rsidR="00FB5173">
        <w:rPr>
          <w:rFonts w:ascii="Arial" w:hAnsi="Arial" w:cs="Arial"/>
          <w:b/>
        </w:rPr>
        <w:t>ctuations in the revenue budget</w:t>
      </w:r>
    </w:p>
    <w:p w14:paraId="6C8A6D3F" w14:textId="77777777" w:rsidR="00FB5173" w:rsidRPr="00210492" w:rsidRDefault="00FB5173" w:rsidP="00FB5173">
      <w:pPr>
        <w:ind w:left="709"/>
        <w:rPr>
          <w:rFonts w:ascii="Arial" w:hAnsi="Arial" w:cs="Arial"/>
          <w:sz w:val="22"/>
          <w:szCs w:val="22"/>
        </w:rPr>
      </w:pPr>
    </w:p>
    <w:p w14:paraId="6C8A6D40" w14:textId="77777777" w:rsidR="00FB5173" w:rsidRDefault="0092729E" w:rsidP="00FB5173">
      <w:pPr>
        <w:ind w:left="709"/>
        <w:rPr>
          <w:rFonts w:ascii="Arial" w:hAnsi="Arial" w:cs="Arial"/>
        </w:rPr>
      </w:pPr>
      <w:r w:rsidRPr="00FB5173">
        <w:rPr>
          <w:rFonts w:ascii="Arial" w:hAnsi="Arial" w:cs="Arial"/>
        </w:rPr>
        <w:t xml:space="preserve">The Fire Authority is focussed on the deficits that it will face by 2019/20, and officers are reviewing all aspects of the revenue budget in order to meet these deficits. </w:t>
      </w:r>
      <w:r w:rsidR="00FB5173">
        <w:rPr>
          <w:rFonts w:ascii="Arial" w:hAnsi="Arial" w:cs="Arial"/>
        </w:rPr>
        <w:t xml:space="preserve"> </w:t>
      </w:r>
      <w:r w:rsidRPr="00FB5173">
        <w:rPr>
          <w:rFonts w:ascii="Arial" w:hAnsi="Arial" w:cs="Arial"/>
        </w:rPr>
        <w:t>A number of reserves have been created to address and support some areas of the revenue budget, and reviews are currently being carried out to identify smarter use of the Authority’s resources.</w:t>
      </w:r>
      <w:r w:rsidR="00FB5173">
        <w:rPr>
          <w:rFonts w:ascii="Arial" w:hAnsi="Arial" w:cs="Arial"/>
        </w:rPr>
        <w:t xml:space="preserve">  Some</w:t>
      </w:r>
      <w:r w:rsidRPr="00FB5173">
        <w:rPr>
          <w:rFonts w:ascii="Arial" w:hAnsi="Arial" w:cs="Arial"/>
        </w:rPr>
        <w:t xml:space="preserve"> examples are given below.</w:t>
      </w:r>
    </w:p>
    <w:p w14:paraId="6C8A6D41" w14:textId="77777777" w:rsidR="00FB5173" w:rsidRPr="00210492" w:rsidRDefault="00FB5173" w:rsidP="00FB5173">
      <w:pPr>
        <w:ind w:left="709"/>
        <w:rPr>
          <w:rFonts w:ascii="Arial" w:hAnsi="Arial" w:cs="Arial"/>
          <w:sz w:val="22"/>
          <w:szCs w:val="22"/>
        </w:rPr>
      </w:pPr>
    </w:p>
    <w:p w14:paraId="6C8A6D42" w14:textId="77777777" w:rsidR="00FB5173" w:rsidRDefault="0092729E" w:rsidP="00FB5173">
      <w:pPr>
        <w:pStyle w:val="ListParagraph"/>
        <w:numPr>
          <w:ilvl w:val="0"/>
          <w:numId w:val="24"/>
        </w:numPr>
        <w:spacing w:after="0" w:line="240" w:lineRule="auto"/>
        <w:ind w:left="1276" w:hanging="567"/>
        <w:rPr>
          <w:rFonts w:ascii="Arial" w:hAnsi="Arial" w:cs="Arial"/>
          <w:sz w:val="24"/>
          <w:szCs w:val="24"/>
        </w:rPr>
      </w:pPr>
      <w:r w:rsidRPr="00FB5173">
        <w:rPr>
          <w:rFonts w:ascii="Arial" w:hAnsi="Arial" w:cs="Arial"/>
          <w:sz w:val="24"/>
          <w:szCs w:val="24"/>
        </w:rPr>
        <w:t>The Pensions reserve may be used to fund transfers into the Pension Account</w:t>
      </w:r>
      <w:r w:rsidR="00FB5173">
        <w:rPr>
          <w:rFonts w:ascii="Arial" w:hAnsi="Arial" w:cs="Arial"/>
          <w:sz w:val="24"/>
          <w:szCs w:val="24"/>
        </w:rPr>
        <w:t>,</w:t>
      </w:r>
      <w:r w:rsidRPr="00FB5173">
        <w:rPr>
          <w:rFonts w:ascii="Arial" w:hAnsi="Arial" w:cs="Arial"/>
          <w:sz w:val="24"/>
          <w:szCs w:val="24"/>
        </w:rPr>
        <w:t xml:space="preserve"> when operational staff retire on ill</w:t>
      </w:r>
      <w:r w:rsidR="00FB5173">
        <w:rPr>
          <w:rFonts w:ascii="Arial" w:hAnsi="Arial" w:cs="Arial"/>
          <w:sz w:val="24"/>
          <w:szCs w:val="24"/>
        </w:rPr>
        <w:t>-</w:t>
      </w:r>
      <w:r w:rsidRPr="00FB5173">
        <w:rPr>
          <w:rFonts w:ascii="Arial" w:hAnsi="Arial" w:cs="Arial"/>
          <w:sz w:val="24"/>
          <w:szCs w:val="24"/>
        </w:rPr>
        <w:t xml:space="preserve">health grounds, currently funded from the revenue budget. </w:t>
      </w:r>
      <w:r w:rsidR="00FB5173">
        <w:rPr>
          <w:rFonts w:ascii="Arial" w:hAnsi="Arial" w:cs="Arial"/>
          <w:sz w:val="24"/>
          <w:szCs w:val="24"/>
        </w:rPr>
        <w:t xml:space="preserve"> </w:t>
      </w:r>
      <w:r w:rsidRPr="00FB5173">
        <w:rPr>
          <w:rFonts w:ascii="Arial" w:hAnsi="Arial" w:cs="Arial"/>
          <w:sz w:val="24"/>
          <w:szCs w:val="24"/>
        </w:rPr>
        <w:t>This would result in a significant reduction to pension revenue budgets.</w:t>
      </w:r>
    </w:p>
    <w:p w14:paraId="6C8A6D43" w14:textId="77777777" w:rsidR="00FB5173" w:rsidRPr="00210492" w:rsidRDefault="00FB5173" w:rsidP="00FB5173">
      <w:pPr>
        <w:pStyle w:val="ListParagraph"/>
        <w:spacing w:after="0" w:line="240" w:lineRule="auto"/>
        <w:ind w:left="1276"/>
        <w:rPr>
          <w:rFonts w:ascii="Arial" w:hAnsi="Arial" w:cs="Arial"/>
        </w:rPr>
      </w:pPr>
    </w:p>
    <w:p w14:paraId="6C8A6D44" w14:textId="77777777" w:rsidR="00FB5173" w:rsidRDefault="0092729E" w:rsidP="00FB5173">
      <w:pPr>
        <w:pStyle w:val="ListParagraph"/>
        <w:numPr>
          <w:ilvl w:val="0"/>
          <w:numId w:val="24"/>
        </w:numPr>
        <w:spacing w:after="0" w:line="240" w:lineRule="auto"/>
        <w:ind w:left="1276" w:hanging="567"/>
        <w:rPr>
          <w:rFonts w:ascii="Arial" w:hAnsi="Arial" w:cs="Arial"/>
          <w:sz w:val="24"/>
          <w:szCs w:val="24"/>
        </w:rPr>
      </w:pPr>
      <w:r w:rsidRPr="00FB5173">
        <w:rPr>
          <w:rFonts w:ascii="Arial" w:hAnsi="Arial" w:cs="Arial"/>
          <w:sz w:val="24"/>
          <w:szCs w:val="24"/>
        </w:rPr>
        <w:t xml:space="preserve">The New Equipment, Training, Building Maintenance and Extreme Incidents reserves have all been created to enable reductions to revenue budgets. </w:t>
      </w:r>
      <w:r w:rsidR="00FB5173">
        <w:rPr>
          <w:rFonts w:ascii="Arial" w:hAnsi="Arial" w:cs="Arial"/>
          <w:sz w:val="24"/>
          <w:szCs w:val="24"/>
        </w:rPr>
        <w:t xml:space="preserve"> </w:t>
      </w:r>
      <w:r w:rsidRPr="00FB5173">
        <w:rPr>
          <w:rFonts w:ascii="Arial" w:hAnsi="Arial" w:cs="Arial"/>
          <w:sz w:val="24"/>
          <w:szCs w:val="24"/>
        </w:rPr>
        <w:t>The assurance that reserves are available for unexpected and exceptional costs will allow officers to budget at lower activity levels with confidence.</w:t>
      </w:r>
    </w:p>
    <w:p w14:paraId="6C8A6D45" w14:textId="77777777" w:rsidR="00FB5173" w:rsidRPr="00FB5173" w:rsidRDefault="00FB5173" w:rsidP="00FB5173">
      <w:pPr>
        <w:pStyle w:val="ListParagraph"/>
        <w:spacing w:after="0" w:line="240" w:lineRule="auto"/>
        <w:rPr>
          <w:rFonts w:ascii="Arial" w:hAnsi="Arial" w:cs="Arial"/>
        </w:rPr>
      </w:pPr>
    </w:p>
    <w:p w14:paraId="6C8A6D46" w14:textId="77777777" w:rsidR="0092729E" w:rsidRPr="00FB5173" w:rsidRDefault="0092729E" w:rsidP="00FB5173">
      <w:pPr>
        <w:ind w:left="709"/>
        <w:rPr>
          <w:rFonts w:ascii="Arial" w:hAnsi="Arial" w:cs="Arial"/>
        </w:rPr>
      </w:pPr>
      <w:r w:rsidRPr="00FB5173">
        <w:rPr>
          <w:rFonts w:ascii="Arial" w:hAnsi="Arial" w:cs="Arial"/>
        </w:rPr>
        <w:t>These reserves will act as enablers to reduce the revenue budget, close the expected budget deficit</w:t>
      </w:r>
      <w:r w:rsidR="00D26FB7" w:rsidRPr="00FB5173">
        <w:rPr>
          <w:rFonts w:ascii="Arial" w:hAnsi="Arial" w:cs="Arial"/>
        </w:rPr>
        <w:t xml:space="preserve"> modelled to 2019/20</w:t>
      </w:r>
      <w:r w:rsidRPr="00FB5173">
        <w:rPr>
          <w:rFonts w:ascii="Arial" w:hAnsi="Arial" w:cs="Arial"/>
        </w:rPr>
        <w:t>, and safeguard the service delivered to the people of Shropshire.</w:t>
      </w:r>
    </w:p>
    <w:p w14:paraId="6C8A6D47" w14:textId="77777777" w:rsidR="009C7FA8" w:rsidRPr="00210492" w:rsidRDefault="009C7FA8" w:rsidP="00FB5173">
      <w:pPr>
        <w:pStyle w:val="BodyTextIndent"/>
        <w:ind w:left="0"/>
        <w:rPr>
          <w:sz w:val="22"/>
          <w:szCs w:val="22"/>
        </w:rPr>
      </w:pPr>
    </w:p>
    <w:p w14:paraId="6C8A6D48" w14:textId="77777777" w:rsidR="00591426" w:rsidRDefault="00D26FB7" w:rsidP="00F72E0D">
      <w:pPr>
        <w:pStyle w:val="sssubhead1"/>
        <w:jc w:val="both"/>
      </w:pPr>
      <w:r>
        <w:t>Reserves and Provisions held by the Authority</w:t>
      </w:r>
    </w:p>
    <w:p w14:paraId="6C8A6D49" w14:textId="77777777" w:rsidR="00591426" w:rsidRPr="00210492" w:rsidRDefault="00591426" w:rsidP="00F72E0D">
      <w:pPr>
        <w:widowControl w:val="0"/>
        <w:rPr>
          <w:rFonts w:ascii="Arial" w:hAnsi="Arial" w:cs="Arial"/>
          <w:snapToGrid w:val="0"/>
          <w:sz w:val="22"/>
          <w:szCs w:val="22"/>
          <w:lang w:eastAsia="en-US"/>
        </w:rPr>
      </w:pPr>
    </w:p>
    <w:p w14:paraId="6C8A6D4A" w14:textId="77777777" w:rsidR="00591426" w:rsidRPr="006D45C8" w:rsidRDefault="00D26FB7" w:rsidP="00F72E0D">
      <w:pPr>
        <w:widowControl w:val="0"/>
        <w:ind w:left="720"/>
        <w:rPr>
          <w:rFonts w:ascii="Arial" w:hAnsi="Arial" w:cs="Arial"/>
          <w:snapToGrid w:val="0"/>
          <w:lang w:eastAsia="en-US"/>
        </w:rPr>
      </w:pPr>
      <w:r>
        <w:rPr>
          <w:rFonts w:ascii="Arial" w:hAnsi="Arial" w:cs="Arial"/>
          <w:snapToGrid w:val="0"/>
          <w:lang w:eastAsia="en-US"/>
        </w:rPr>
        <w:t xml:space="preserve">A schedule of the reserves and provisions currently held by the Authority is attached as an appendix to </w:t>
      </w:r>
      <w:r w:rsidR="00FB5173">
        <w:rPr>
          <w:rFonts w:ascii="Arial" w:hAnsi="Arial" w:cs="Arial"/>
          <w:snapToGrid w:val="0"/>
          <w:lang w:eastAsia="en-US"/>
        </w:rPr>
        <w:t>this</w:t>
      </w:r>
      <w:r>
        <w:rPr>
          <w:rFonts w:ascii="Arial" w:hAnsi="Arial" w:cs="Arial"/>
          <w:snapToGrid w:val="0"/>
          <w:lang w:eastAsia="en-US"/>
        </w:rPr>
        <w:t xml:space="preserve"> report. </w:t>
      </w:r>
      <w:r w:rsidR="00FB5173">
        <w:rPr>
          <w:rFonts w:ascii="Arial" w:hAnsi="Arial" w:cs="Arial"/>
          <w:snapToGrid w:val="0"/>
          <w:lang w:eastAsia="en-US"/>
        </w:rPr>
        <w:t xml:space="preserve"> </w:t>
      </w:r>
      <w:r>
        <w:rPr>
          <w:rFonts w:ascii="Arial" w:hAnsi="Arial" w:cs="Arial"/>
          <w:snapToGrid w:val="0"/>
          <w:lang w:eastAsia="en-US"/>
        </w:rPr>
        <w:t>This schedule states the purpose of each reserve, and also refers to possible uses of the funds over the planning period, reflecting the risks and uncertainties mentioned in the report.</w:t>
      </w:r>
    </w:p>
    <w:p w14:paraId="6C8A6D4B" w14:textId="77777777" w:rsidR="00591426" w:rsidRPr="00210492" w:rsidRDefault="00591426" w:rsidP="00F72E0D">
      <w:pPr>
        <w:widowControl w:val="0"/>
        <w:rPr>
          <w:rFonts w:ascii="Arial" w:hAnsi="Arial" w:cs="Arial"/>
          <w:snapToGrid w:val="0"/>
          <w:sz w:val="22"/>
          <w:szCs w:val="22"/>
          <w:lang w:eastAsia="en-US"/>
        </w:rPr>
      </w:pPr>
    </w:p>
    <w:p w14:paraId="6C8A6D4C" w14:textId="77777777" w:rsidR="00D26FB7" w:rsidRDefault="00D26FB7" w:rsidP="00D26FB7">
      <w:pPr>
        <w:pStyle w:val="sssubhead1"/>
      </w:pPr>
      <w:r>
        <w:t>Adequacy of Reserves</w:t>
      </w:r>
    </w:p>
    <w:p w14:paraId="6C8A6D4D" w14:textId="77777777" w:rsidR="00D26FB7" w:rsidRPr="00210492" w:rsidRDefault="00D26FB7" w:rsidP="00D26FB7">
      <w:pPr>
        <w:widowControl w:val="0"/>
        <w:ind w:left="720"/>
        <w:rPr>
          <w:rFonts w:ascii="Arial" w:hAnsi="Arial" w:cs="Arial"/>
          <w:snapToGrid w:val="0"/>
          <w:sz w:val="22"/>
          <w:szCs w:val="22"/>
          <w:lang w:eastAsia="en-US"/>
        </w:rPr>
      </w:pPr>
    </w:p>
    <w:p w14:paraId="6C8A6D4E" w14:textId="77777777" w:rsidR="00D26FB7" w:rsidRDefault="00D26FB7" w:rsidP="00D26FB7">
      <w:pPr>
        <w:widowControl w:val="0"/>
        <w:ind w:left="720"/>
        <w:rPr>
          <w:rFonts w:ascii="Arial" w:hAnsi="Arial" w:cs="Arial"/>
          <w:snapToGrid w:val="0"/>
          <w:lang w:eastAsia="en-US"/>
        </w:rPr>
      </w:pPr>
      <w:r>
        <w:rPr>
          <w:rFonts w:ascii="Arial" w:hAnsi="Arial" w:cs="Arial"/>
          <w:snapToGrid w:val="0"/>
          <w:lang w:eastAsia="en-US"/>
        </w:rPr>
        <w:t xml:space="preserve">The reserves have not been unexpectedly reduced from last year, when an assurance was given of their adequacy; in fact </w:t>
      </w:r>
      <w:r w:rsidR="000629F5">
        <w:rPr>
          <w:rFonts w:ascii="Arial" w:hAnsi="Arial" w:cs="Arial"/>
          <w:snapToGrid w:val="0"/>
          <w:lang w:eastAsia="en-US"/>
        </w:rPr>
        <w:t>there have been increases following year end closedown.</w:t>
      </w:r>
      <w:r>
        <w:rPr>
          <w:rFonts w:ascii="Arial" w:hAnsi="Arial" w:cs="Arial"/>
          <w:snapToGrid w:val="0"/>
          <w:lang w:eastAsia="en-US"/>
        </w:rPr>
        <w:t xml:space="preserve">  Officers continue to give due consideration to existing risks to the Authority, when reviewing levels of reserves, and a continued assurance can be given that every effort has been made to ensure that reserves are adequate.  </w:t>
      </w:r>
    </w:p>
    <w:p w14:paraId="6C8A6D4F" w14:textId="77777777" w:rsidR="00D26FB7" w:rsidRPr="00210492" w:rsidRDefault="00D26FB7" w:rsidP="00D26FB7">
      <w:pPr>
        <w:widowControl w:val="0"/>
        <w:ind w:left="720"/>
        <w:rPr>
          <w:rFonts w:ascii="Arial" w:hAnsi="Arial" w:cs="Arial"/>
          <w:snapToGrid w:val="0"/>
          <w:sz w:val="22"/>
          <w:szCs w:val="22"/>
          <w:lang w:eastAsia="en-US"/>
        </w:rPr>
      </w:pPr>
    </w:p>
    <w:p w14:paraId="6C8A6D50" w14:textId="77777777" w:rsidR="00D26FB7" w:rsidRDefault="00D26FB7" w:rsidP="00D26FB7">
      <w:pPr>
        <w:pStyle w:val="sssubhead1"/>
      </w:pPr>
      <w:r>
        <w:t>Robustness of Estimates</w:t>
      </w:r>
    </w:p>
    <w:p w14:paraId="6C8A6D51" w14:textId="77777777" w:rsidR="00D26FB7" w:rsidRPr="00210492" w:rsidRDefault="00D26FB7" w:rsidP="00D26FB7">
      <w:pPr>
        <w:pStyle w:val="PlainText"/>
        <w:ind w:left="720"/>
        <w:rPr>
          <w:rFonts w:ascii="Arial" w:hAnsi="Arial" w:cs="Arial"/>
          <w:sz w:val="22"/>
          <w:szCs w:val="22"/>
        </w:rPr>
      </w:pPr>
    </w:p>
    <w:p w14:paraId="6C8A6D52" w14:textId="6F251769" w:rsidR="00D26FB7" w:rsidRDefault="00D26FB7" w:rsidP="00D26FB7">
      <w:pPr>
        <w:pStyle w:val="PlainText"/>
        <w:ind w:left="720"/>
        <w:rPr>
          <w:rFonts w:ascii="Arial" w:hAnsi="Arial" w:cs="Arial"/>
          <w:sz w:val="24"/>
          <w:szCs w:val="24"/>
        </w:rPr>
      </w:pPr>
      <w:r>
        <w:rPr>
          <w:rFonts w:ascii="Arial" w:hAnsi="Arial" w:cs="Arial"/>
          <w:sz w:val="24"/>
          <w:szCs w:val="24"/>
        </w:rPr>
        <w:t xml:space="preserve">Given that </w:t>
      </w:r>
      <w:r w:rsidR="00210492">
        <w:rPr>
          <w:rFonts w:ascii="Arial" w:hAnsi="Arial" w:cs="Arial"/>
          <w:sz w:val="24"/>
          <w:szCs w:val="24"/>
        </w:rPr>
        <w:t>reserves are adequate, your Treasurer</w:t>
      </w:r>
      <w:r>
        <w:rPr>
          <w:rFonts w:ascii="Arial" w:hAnsi="Arial" w:cs="Arial"/>
          <w:sz w:val="24"/>
          <w:szCs w:val="24"/>
        </w:rPr>
        <w:t xml:space="preserve"> believe</w:t>
      </w:r>
      <w:r w:rsidR="00210492">
        <w:rPr>
          <w:rFonts w:ascii="Arial" w:hAnsi="Arial" w:cs="Arial"/>
          <w:sz w:val="24"/>
          <w:szCs w:val="24"/>
        </w:rPr>
        <w:t>s</w:t>
      </w:r>
      <w:r w:rsidR="00FB5173">
        <w:rPr>
          <w:rFonts w:ascii="Arial" w:hAnsi="Arial" w:cs="Arial"/>
          <w:sz w:val="24"/>
          <w:szCs w:val="24"/>
        </w:rPr>
        <w:t xml:space="preserve"> that</w:t>
      </w:r>
      <w:r>
        <w:rPr>
          <w:rFonts w:ascii="Arial" w:hAnsi="Arial" w:cs="Arial"/>
          <w:sz w:val="24"/>
          <w:szCs w:val="24"/>
        </w:rPr>
        <w:t xml:space="preserve"> the budget is robust for 201</w:t>
      </w:r>
      <w:r w:rsidR="000629F5">
        <w:rPr>
          <w:rFonts w:ascii="Arial" w:hAnsi="Arial" w:cs="Arial"/>
          <w:sz w:val="24"/>
          <w:szCs w:val="24"/>
        </w:rPr>
        <w:t>5</w:t>
      </w:r>
      <w:r>
        <w:rPr>
          <w:rFonts w:ascii="Arial" w:hAnsi="Arial" w:cs="Arial"/>
          <w:sz w:val="24"/>
          <w:szCs w:val="24"/>
        </w:rPr>
        <w:t>/1</w:t>
      </w:r>
      <w:r w:rsidR="000629F5">
        <w:rPr>
          <w:rFonts w:ascii="Arial" w:hAnsi="Arial" w:cs="Arial"/>
          <w:sz w:val="24"/>
          <w:szCs w:val="24"/>
        </w:rPr>
        <w:t>6</w:t>
      </w:r>
      <w:r>
        <w:rPr>
          <w:rFonts w:ascii="Arial" w:hAnsi="Arial" w:cs="Arial"/>
          <w:sz w:val="24"/>
          <w:szCs w:val="24"/>
        </w:rPr>
        <w:t xml:space="preserve"> in respect of the process to minimise errors and omissions, the level set aside for future pay and price increases, and the realism and deliverability of the reductions approved as part of the Public Value process.</w:t>
      </w:r>
    </w:p>
    <w:p w14:paraId="6C8A6D53" w14:textId="77777777" w:rsidR="00CE4379" w:rsidRPr="00210492" w:rsidRDefault="00CE4379" w:rsidP="000629F5">
      <w:pPr>
        <w:pStyle w:val="PlainText"/>
        <w:rPr>
          <w:rFonts w:ascii="Arial" w:hAnsi="Arial" w:cs="Arial"/>
          <w:sz w:val="22"/>
          <w:szCs w:val="22"/>
        </w:rPr>
      </w:pPr>
    </w:p>
    <w:p w14:paraId="6C8A6D54" w14:textId="77777777" w:rsidR="009235F9" w:rsidRPr="00730B84" w:rsidRDefault="009235F9" w:rsidP="009235F9">
      <w:pPr>
        <w:pStyle w:val="PlainText"/>
        <w:ind w:left="720"/>
        <w:rPr>
          <w:rFonts w:ascii="Arial" w:hAnsi="Arial" w:cs="Arial"/>
          <w:b/>
          <w:sz w:val="24"/>
          <w:szCs w:val="24"/>
        </w:rPr>
      </w:pPr>
      <w:r w:rsidRPr="00730B84">
        <w:rPr>
          <w:rFonts w:ascii="Arial" w:hAnsi="Arial" w:cs="Arial"/>
          <w:b/>
          <w:sz w:val="24"/>
          <w:szCs w:val="24"/>
        </w:rPr>
        <w:t>Future Years</w:t>
      </w:r>
    </w:p>
    <w:p w14:paraId="6C8A6D55" w14:textId="77777777" w:rsidR="009235F9" w:rsidRPr="00210492" w:rsidRDefault="009235F9" w:rsidP="009235F9">
      <w:pPr>
        <w:pStyle w:val="PlainText"/>
        <w:ind w:left="720"/>
        <w:rPr>
          <w:rFonts w:ascii="Arial" w:hAnsi="Arial" w:cs="Arial"/>
          <w:sz w:val="22"/>
          <w:szCs w:val="22"/>
        </w:rPr>
      </w:pPr>
    </w:p>
    <w:p w14:paraId="4A56B0ED" w14:textId="77777777" w:rsidR="00210492" w:rsidRDefault="009235F9" w:rsidP="009235F9">
      <w:pPr>
        <w:ind w:left="720"/>
        <w:rPr>
          <w:rFonts w:ascii="Arial" w:hAnsi="Arial" w:cs="Arial"/>
        </w:rPr>
      </w:pPr>
      <w:r>
        <w:rPr>
          <w:rFonts w:ascii="Arial" w:hAnsi="Arial" w:cs="Arial"/>
        </w:rPr>
        <w:t>Although the assurances required under statute are for the coming year only, there must be concern over continuing grant settlements from 201</w:t>
      </w:r>
      <w:r w:rsidR="000629F5">
        <w:rPr>
          <w:rFonts w:ascii="Arial" w:hAnsi="Arial" w:cs="Arial"/>
        </w:rPr>
        <w:t>6</w:t>
      </w:r>
      <w:r>
        <w:rPr>
          <w:rFonts w:ascii="Arial" w:hAnsi="Arial" w:cs="Arial"/>
        </w:rPr>
        <w:t>/1</w:t>
      </w:r>
      <w:r w:rsidR="000629F5">
        <w:rPr>
          <w:rFonts w:ascii="Arial" w:hAnsi="Arial" w:cs="Arial"/>
        </w:rPr>
        <w:t>7</w:t>
      </w:r>
      <w:r>
        <w:rPr>
          <w:rFonts w:ascii="Arial" w:hAnsi="Arial" w:cs="Arial"/>
        </w:rPr>
        <w:t xml:space="preserve"> onward, and there are a number of issues, over which the Authority has little control, such as pay and price changes, and the level of grant reductions over the fina</w:t>
      </w:r>
      <w:r w:rsidR="00210492">
        <w:rPr>
          <w:rFonts w:ascii="Arial" w:hAnsi="Arial" w:cs="Arial"/>
        </w:rPr>
        <w:t>l year of the Spending Review.</w:t>
      </w:r>
    </w:p>
    <w:p w14:paraId="6C8A6D56" w14:textId="7ACE5520" w:rsidR="009235F9" w:rsidRPr="005446FA" w:rsidRDefault="009235F9" w:rsidP="009235F9">
      <w:pPr>
        <w:ind w:left="720"/>
        <w:rPr>
          <w:rFonts w:ascii="Arial" w:hAnsi="Arial" w:cs="Arial"/>
        </w:rPr>
      </w:pPr>
      <w:r>
        <w:rPr>
          <w:rFonts w:ascii="Arial" w:hAnsi="Arial" w:cs="Arial"/>
        </w:rPr>
        <w:lastRenderedPageBreak/>
        <w:t>Therefore, financial modelling will continue to exemplify the possible scenarios faced by the Authority over the coming months and years.</w:t>
      </w:r>
    </w:p>
    <w:p w14:paraId="6C8A6D57" w14:textId="77777777" w:rsidR="009235F9" w:rsidRDefault="009235F9" w:rsidP="00D26FB7">
      <w:pPr>
        <w:pStyle w:val="PlainText"/>
        <w:ind w:left="720"/>
        <w:rPr>
          <w:rFonts w:ascii="Arial" w:hAnsi="Arial" w:cs="Arial"/>
          <w:sz w:val="24"/>
          <w:szCs w:val="24"/>
        </w:rPr>
      </w:pPr>
    </w:p>
    <w:p w14:paraId="6C8A6D58" w14:textId="77777777" w:rsidR="00F72E0D" w:rsidRDefault="00117B5F" w:rsidP="00F72E0D">
      <w:pPr>
        <w:pStyle w:val="sssubhead1"/>
        <w:jc w:val="both"/>
      </w:pPr>
      <w:r>
        <w:t xml:space="preserve">Financial Implications </w:t>
      </w:r>
    </w:p>
    <w:p w14:paraId="6C8A6D59" w14:textId="77777777" w:rsidR="00F72E0D" w:rsidRPr="006D45C8" w:rsidRDefault="00F72E0D" w:rsidP="00F72E0D">
      <w:pPr>
        <w:widowControl w:val="0"/>
        <w:rPr>
          <w:rFonts w:ascii="Arial" w:hAnsi="Arial" w:cs="Arial"/>
          <w:snapToGrid w:val="0"/>
          <w:lang w:eastAsia="en-US"/>
        </w:rPr>
      </w:pPr>
    </w:p>
    <w:p w14:paraId="6C8A6D5A" w14:textId="77777777" w:rsidR="00D23581" w:rsidRDefault="00D23581" w:rsidP="00D23581">
      <w:pPr>
        <w:widowControl w:val="0"/>
        <w:ind w:firstLine="720"/>
        <w:rPr>
          <w:rFonts w:ascii="Arial" w:hAnsi="Arial" w:cs="Arial"/>
          <w:snapToGrid w:val="0"/>
          <w:lang w:eastAsia="en-US"/>
        </w:rPr>
      </w:pPr>
      <w:r>
        <w:rPr>
          <w:rFonts w:ascii="Arial" w:hAnsi="Arial" w:cs="Arial"/>
          <w:snapToGrid w:val="0"/>
          <w:lang w:eastAsia="en-US"/>
        </w:rPr>
        <w:t>The financial implications are outlined</w:t>
      </w:r>
      <w:r w:rsidR="00FB5173">
        <w:rPr>
          <w:rFonts w:ascii="Arial" w:hAnsi="Arial" w:cs="Arial"/>
          <w:snapToGrid w:val="0"/>
          <w:lang w:eastAsia="en-US"/>
        </w:rPr>
        <w:t xml:space="preserve"> within this</w:t>
      </w:r>
      <w:r>
        <w:rPr>
          <w:rFonts w:ascii="Arial" w:hAnsi="Arial" w:cs="Arial"/>
          <w:snapToGrid w:val="0"/>
          <w:lang w:eastAsia="en-US"/>
        </w:rPr>
        <w:t xml:space="preserve"> report.</w:t>
      </w:r>
    </w:p>
    <w:p w14:paraId="6C8A6D5B" w14:textId="77777777" w:rsidR="00F72E0D" w:rsidRPr="006D45C8" w:rsidRDefault="00D23581" w:rsidP="00D23581">
      <w:pPr>
        <w:widowControl w:val="0"/>
        <w:ind w:firstLine="720"/>
        <w:rPr>
          <w:rFonts w:ascii="Arial" w:hAnsi="Arial" w:cs="Arial"/>
          <w:snapToGrid w:val="0"/>
          <w:lang w:eastAsia="en-US"/>
        </w:rPr>
      </w:pPr>
      <w:r>
        <w:rPr>
          <w:rFonts w:ascii="Arial" w:hAnsi="Arial" w:cs="Arial"/>
          <w:snapToGrid w:val="0"/>
          <w:color w:val="FF0000"/>
          <w:lang w:eastAsia="en-US"/>
        </w:rPr>
        <w:t xml:space="preserve"> </w:t>
      </w:r>
    </w:p>
    <w:p w14:paraId="6C8A6D5C" w14:textId="77777777" w:rsidR="00591426" w:rsidRDefault="00591426" w:rsidP="00F72E0D">
      <w:pPr>
        <w:pStyle w:val="sssubhead1"/>
        <w:jc w:val="both"/>
        <w:rPr>
          <w:snapToGrid w:val="0"/>
          <w:lang w:eastAsia="en-US"/>
        </w:rPr>
      </w:pPr>
      <w:r>
        <w:rPr>
          <w:snapToGrid w:val="0"/>
          <w:lang w:eastAsia="en-US"/>
        </w:rPr>
        <w:t>Legal Comment</w:t>
      </w:r>
    </w:p>
    <w:p w14:paraId="6C8A6D5D" w14:textId="77777777" w:rsidR="00591426" w:rsidRPr="006D45C8" w:rsidRDefault="00591426" w:rsidP="00F72E0D">
      <w:pPr>
        <w:widowControl w:val="0"/>
        <w:rPr>
          <w:rFonts w:ascii="Arial" w:hAnsi="Arial" w:cs="Arial"/>
          <w:snapToGrid w:val="0"/>
          <w:lang w:eastAsia="en-US"/>
        </w:rPr>
      </w:pPr>
    </w:p>
    <w:p w14:paraId="6C8A6D5E" w14:textId="77777777" w:rsidR="00591426" w:rsidRPr="00D23581" w:rsidRDefault="00D23581" w:rsidP="00F72E0D">
      <w:pPr>
        <w:widowControl w:val="0"/>
        <w:ind w:left="720"/>
        <w:rPr>
          <w:rFonts w:ascii="Arial" w:hAnsi="Arial" w:cs="Arial"/>
          <w:snapToGrid w:val="0"/>
          <w:lang w:eastAsia="en-US"/>
        </w:rPr>
      </w:pPr>
      <w:r>
        <w:rPr>
          <w:rFonts w:ascii="Arial" w:hAnsi="Arial" w:cs="Arial"/>
          <w:snapToGrid w:val="0"/>
          <w:lang w:eastAsia="en-US"/>
        </w:rPr>
        <w:t>The Treasurer is obliged</w:t>
      </w:r>
      <w:r w:rsidR="00FB5173">
        <w:rPr>
          <w:rFonts w:ascii="Arial" w:hAnsi="Arial" w:cs="Arial"/>
          <w:snapToGrid w:val="0"/>
          <w:lang w:eastAsia="en-US"/>
        </w:rPr>
        <w:t>, under the Local Government Act 2003,</w:t>
      </w:r>
      <w:r>
        <w:rPr>
          <w:rFonts w:ascii="Arial" w:hAnsi="Arial" w:cs="Arial"/>
          <w:snapToGrid w:val="0"/>
          <w:lang w:eastAsia="en-US"/>
        </w:rPr>
        <w:t xml:space="preserve"> to give the ass</w:t>
      </w:r>
      <w:r w:rsidR="00FB5173">
        <w:rPr>
          <w:rFonts w:ascii="Arial" w:hAnsi="Arial" w:cs="Arial"/>
          <w:snapToGrid w:val="0"/>
          <w:lang w:eastAsia="en-US"/>
        </w:rPr>
        <w:t>urances set out in this report</w:t>
      </w:r>
      <w:r>
        <w:rPr>
          <w:rFonts w:ascii="Arial" w:hAnsi="Arial" w:cs="Arial"/>
          <w:snapToGrid w:val="0"/>
          <w:lang w:eastAsia="en-US"/>
        </w:rPr>
        <w:t>.</w:t>
      </w:r>
    </w:p>
    <w:p w14:paraId="6C8A6D5F" w14:textId="77777777" w:rsidR="009C7FA8" w:rsidRPr="006D45C8" w:rsidRDefault="009C7FA8" w:rsidP="00F72E0D">
      <w:pPr>
        <w:widowControl w:val="0"/>
        <w:rPr>
          <w:rFonts w:ascii="Arial" w:hAnsi="Arial" w:cs="Arial"/>
          <w:snapToGrid w:val="0"/>
          <w:lang w:eastAsia="en-US"/>
        </w:rPr>
      </w:pPr>
    </w:p>
    <w:p w14:paraId="6C8A6D60" w14:textId="77777777" w:rsidR="0082640F" w:rsidRDefault="0082640F" w:rsidP="00F72E0D">
      <w:pPr>
        <w:pStyle w:val="sssubhead1"/>
        <w:jc w:val="both"/>
        <w:rPr>
          <w:snapToGrid w:val="0"/>
          <w:lang w:eastAsia="en-US"/>
        </w:rPr>
      </w:pPr>
      <w:r>
        <w:rPr>
          <w:snapToGrid w:val="0"/>
          <w:lang w:eastAsia="en-US"/>
        </w:rPr>
        <w:t>Initial Impact Assessment</w:t>
      </w:r>
    </w:p>
    <w:p w14:paraId="6C8A6D61" w14:textId="77777777" w:rsidR="0082640F" w:rsidRPr="0082640F" w:rsidRDefault="0082640F" w:rsidP="0082640F">
      <w:pPr>
        <w:pStyle w:val="PlainText"/>
        <w:rPr>
          <w:rFonts w:ascii="Arial" w:hAnsi="Arial" w:cs="Arial"/>
          <w:sz w:val="24"/>
          <w:szCs w:val="24"/>
          <w:lang w:eastAsia="en-US"/>
        </w:rPr>
      </w:pPr>
    </w:p>
    <w:p w14:paraId="6C8A6D62" w14:textId="77777777" w:rsidR="0082640F" w:rsidRPr="0082640F" w:rsidRDefault="002F235D" w:rsidP="0082640F">
      <w:pPr>
        <w:pStyle w:val="PlainText"/>
        <w:ind w:left="720"/>
        <w:rPr>
          <w:rFonts w:ascii="Arial" w:hAnsi="Arial" w:cs="Arial"/>
          <w:color w:val="FF0000"/>
          <w:sz w:val="24"/>
          <w:szCs w:val="24"/>
          <w:lang w:eastAsia="en-US"/>
        </w:rPr>
      </w:pPr>
      <w:r>
        <w:rPr>
          <w:rFonts w:ascii="Arial" w:hAnsi="Arial" w:cs="Arial"/>
          <w:sz w:val="24"/>
          <w:szCs w:val="24"/>
          <w:lang w:eastAsia="en-US"/>
        </w:rPr>
        <w:t>An</w:t>
      </w:r>
      <w:r w:rsidR="0082640F" w:rsidRPr="0082640F">
        <w:rPr>
          <w:rFonts w:ascii="Arial" w:hAnsi="Arial" w:cs="Arial"/>
          <w:color w:val="FF0000"/>
          <w:sz w:val="24"/>
          <w:szCs w:val="24"/>
          <w:lang w:eastAsia="en-US"/>
        </w:rPr>
        <w:t xml:space="preserve"> </w:t>
      </w:r>
      <w:r w:rsidR="0082640F" w:rsidRPr="002F235D">
        <w:rPr>
          <w:rFonts w:ascii="Arial" w:hAnsi="Arial" w:cs="Arial"/>
          <w:sz w:val="24"/>
          <w:szCs w:val="24"/>
          <w:lang w:eastAsia="en-US"/>
        </w:rPr>
        <w:t>Initial Impact Assessment form</w:t>
      </w:r>
      <w:r>
        <w:rPr>
          <w:rFonts w:ascii="Arial" w:hAnsi="Arial" w:cs="Arial"/>
          <w:sz w:val="24"/>
          <w:szCs w:val="24"/>
          <w:lang w:eastAsia="en-US"/>
        </w:rPr>
        <w:t xml:space="preserve"> has been completed.</w:t>
      </w:r>
    </w:p>
    <w:p w14:paraId="6C8A6D63" w14:textId="77777777" w:rsidR="0082640F" w:rsidRDefault="0082640F" w:rsidP="0082640F">
      <w:pPr>
        <w:pStyle w:val="PlainText"/>
        <w:rPr>
          <w:rFonts w:ascii="Arial" w:hAnsi="Arial" w:cs="Arial"/>
          <w:sz w:val="24"/>
          <w:szCs w:val="24"/>
          <w:lang w:eastAsia="en-US"/>
        </w:rPr>
      </w:pPr>
    </w:p>
    <w:p w14:paraId="2C2D9846" w14:textId="77777777" w:rsidR="00210492" w:rsidRPr="00F53419" w:rsidRDefault="00210492" w:rsidP="00210492">
      <w:pPr>
        <w:pStyle w:val="sssubhead1"/>
        <w:tabs>
          <w:tab w:val="clear" w:pos="720"/>
        </w:tabs>
        <w:jc w:val="both"/>
      </w:pPr>
      <w:r w:rsidRPr="00210492">
        <w:rPr>
          <w:snapToGrid w:val="0"/>
        </w:rPr>
        <w:t>Equality</w:t>
      </w:r>
      <w:r w:rsidRPr="00F53419">
        <w:t xml:space="preserve"> Impact Assessment</w:t>
      </w:r>
      <w:r w:rsidRPr="00F53419">
        <w:tab/>
      </w:r>
    </w:p>
    <w:p w14:paraId="6C378DC5" w14:textId="77777777" w:rsidR="00210492" w:rsidRDefault="00210492" w:rsidP="00210492">
      <w:pPr>
        <w:pStyle w:val="PlainText"/>
        <w:rPr>
          <w:rFonts w:ascii="Arial" w:hAnsi="Arial" w:cs="Arial"/>
          <w:sz w:val="24"/>
          <w:szCs w:val="24"/>
          <w:lang w:eastAsia="en-US"/>
        </w:rPr>
      </w:pPr>
    </w:p>
    <w:p w14:paraId="2A469E54" w14:textId="77777777" w:rsidR="00210492" w:rsidRDefault="00210492" w:rsidP="00210492">
      <w:pPr>
        <w:pStyle w:val="PlainText"/>
        <w:ind w:left="720"/>
        <w:rPr>
          <w:rFonts w:ascii="Arial" w:hAnsi="Arial" w:cs="Arial"/>
          <w:sz w:val="24"/>
          <w:szCs w:val="24"/>
          <w:lang w:val="en-US"/>
        </w:rPr>
      </w:pPr>
      <w:r w:rsidRPr="000036E0">
        <w:rPr>
          <w:rFonts w:ascii="Arial" w:hAnsi="Arial" w:cs="Arial"/>
          <w:sz w:val="24"/>
          <w:szCs w:val="24"/>
          <w:lang w:val="en-US"/>
        </w:rPr>
        <w:t>Officers have considered the Service’s Brigade Order on Equality Impact Assessments (Human Resources 5 Part 2) and have decided that there are no discriminatory practices or differential impacts upon specific groups arising from this report.  An Initial Equality Impact Assessment is not, therefore, required.</w:t>
      </w:r>
      <w:r>
        <w:rPr>
          <w:rFonts w:ascii="Arial" w:hAnsi="Arial" w:cs="Arial"/>
          <w:sz w:val="24"/>
          <w:szCs w:val="24"/>
          <w:lang w:val="en-US"/>
        </w:rPr>
        <w:t xml:space="preserve"> </w:t>
      </w:r>
    </w:p>
    <w:p w14:paraId="136F9C77" w14:textId="18391C5B" w:rsidR="00210492" w:rsidRPr="0082640F" w:rsidRDefault="00210492" w:rsidP="0082640F">
      <w:pPr>
        <w:pStyle w:val="PlainText"/>
        <w:rPr>
          <w:rFonts w:ascii="Arial" w:hAnsi="Arial" w:cs="Arial"/>
          <w:sz w:val="24"/>
          <w:szCs w:val="24"/>
          <w:lang w:eastAsia="en-US"/>
        </w:rPr>
      </w:pPr>
    </w:p>
    <w:p w14:paraId="6C8A6D64" w14:textId="77777777" w:rsidR="005B53B1" w:rsidRPr="00EB4C4A" w:rsidRDefault="00E27DF5" w:rsidP="00F72E0D">
      <w:pPr>
        <w:pStyle w:val="sssubhead1"/>
        <w:jc w:val="both"/>
        <w:rPr>
          <w:snapToGrid w:val="0"/>
          <w:lang w:eastAsia="en-US"/>
        </w:rPr>
      </w:pPr>
      <w:r>
        <w:rPr>
          <w:snapToGrid w:val="0"/>
          <w:lang w:eastAsia="en-US"/>
        </w:rPr>
        <w:t>Appendix</w:t>
      </w:r>
    </w:p>
    <w:p w14:paraId="6C8A6D65" w14:textId="77777777" w:rsidR="005B53B1" w:rsidRDefault="005B53B1" w:rsidP="007B08DA">
      <w:pPr>
        <w:widowControl w:val="0"/>
        <w:ind w:left="720"/>
        <w:rPr>
          <w:rFonts w:ascii="Arial" w:hAnsi="Arial" w:cs="Arial"/>
          <w:snapToGrid w:val="0"/>
          <w:lang w:eastAsia="en-US"/>
        </w:rPr>
      </w:pPr>
    </w:p>
    <w:p w14:paraId="6C8A6D66" w14:textId="77777777" w:rsidR="007B08DA" w:rsidRPr="00D23581" w:rsidRDefault="00D23581" w:rsidP="00D23581">
      <w:pPr>
        <w:widowControl w:val="0"/>
        <w:ind w:left="720"/>
        <w:rPr>
          <w:rFonts w:ascii="Arial" w:hAnsi="Arial" w:cs="Arial"/>
          <w:snapToGrid w:val="0"/>
          <w:lang w:eastAsia="en-US"/>
        </w:rPr>
      </w:pPr>
      <w:r>
        <w:rPr>
          <w:rFonts w:ascii="Arial" w:hAnsi="Arial" w:cs="Arial"/>
          <w:snapToGrid w:val="0"/>
          <w:lang w:eastAsia="en-US"/>
        </w:rPr>
        <w:t>Analysis of Reserves and Provisions</w:t>
      </w:r>
    </w:p>
    <w:p w14:paraId="6C8A6D67" w14:textId="77777777" w:rsidR="005B53B1" w:rsidRPr="006D45C8" w:rsidRDefault="005B53B1" w:rsidP="00F72E0D">
      <w:pPr>
        <w:widowControl w:val="0"/>
        <w:rPr>
          <w:rFonts w:ascii="Arial" w:hAnsi="Arial" w:cs="Arial"/>
          <w:snapToGrid w:val="0"/>
          <w:lang w:eastAsia="en-US"/>
        </w:rPr>
      </w:pPr>
    </w:p>
    <w:p w14:paraId="6C8A6D68" w14:textId="77777777" w:rsidR="00591426" w:rsidRPr="00EB4C4A" w:rsidRDefault="00591426" w:rsidP="00F72E0D">
      <w:pPr>
        <w:pStyle w:val="sssubhead1"/>
        <w:rPr>
          <w:snapToGrid w:val="0"/>
          <w:lang w:eastAsia="en-US"/>
        </w:rPr>
      </w:pPr>
      <w:r>
        <w:rPr>
          <w:snapToGrid w:val="0"/>
          <w:lang w:eastAsia="en-US"/>
        </w:rPr>
        <w:t>Background Papers</w:t>
      </w:r>
    </w:p>
    <w:p w14:paraId="6C8A6D69" w14:textId="77777777" w:rsidR="00591426" w:rsidRPr="006D45C8" w:rsidRDefault="00591426" w:rsidP="00F72E0D">
      <w:pPr>
        <w:widowControl w:val="0"/>
        <w:rPr>
          <w:rFonts w:ascii="Arial" w:hAnsi="Arial" w:cs="Arial"/>
          <w:snapToGrid w:val="0"/>
          <w:lang w:eastAsia="en-US"/>
        </w:rPr>
      </w:pPr>
    </w:p>
    <w:p w14:paraId="6C8A6D6A" w14:textId="77777777" w:rsidR="001A493F" w:rsidRDefault="001A493F" w:rsidP="00F72E0D">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6C8A6D6B" w14:textId="77777777" w:rsidR="00662B17" w:rsidRDefault="00662B17" w:rsidP="00F72E0D">
      <w:pPr>
        <w:widowControl w:val="0"/>
        <w:ind w:left="720"/>
        <w:rPr>
          <w:rFonts w:ascii="Arial" w:hAnsi="Arial" w:cs="Arial"/>
          <w:snapToGrid w:val="0"/>
          <w:lang w:eastAsia="en-US"/>
        </w:rPr>
      </w:pPr>
    </w:p>
    <w:p w14:paraId="162E7A8C" w14:textId="77777777" w:rsidR="008B1583" w:rsidRDefault="008B1583" w:rsidP="00CE4379">
      <w:pPr>
        <w:jc w:val="center"/>
        <w:rPr>
          <w:rFonts w:ascii="Arial" w:hAnsi="Arial" w:cs="Arial"/>
        </w:rPr>
        <w:sectPr w:rsidR="008B1583" w:rsidSect="00504242">
          <w:headerReference w:type="default" r:id="rId13"/>
          <w:footerReference w:type="default" r:id="rId14"/>
          <w:headerReference w:type="first" r:id="rId15"/>
          <w:footerReference w:type="first" r:id="rId16"/>
          <w:pgSz w:w="11907" w:h="16840" w:code="9"/>
          <w:pgMar w:top="737" w:right="1440" w:bottom="737" w:left="1440" w:header="284" w:footer="0" w:gutter="0"/>
          <w:cols w:space="708"/>
          <w:titlePg/>
          <w:docGrid w:linePitch="360"/>
        </w:sectPr>
      </w:pPr>
    </w:p>
    <w:tbl>
      <w:tblPr>
        <w:tblStyle w:val="TableGrid"/>
        <w:tblW w:w="14312" w:type="dxa"/>
        <w:tblLook w:val="04A0" w:firstRow="1" w:lastRow="0" w:firstColumn="1" w:lastColumn="0" w:noHBand="0" w:noVBand="1"/>
      </w:tblPr>
      <w:tblGrid>
        <w:gridCol w:w="1768"/>
        <w:gridCol w:w="4606"/>
        <w:gridCol w:w="1559"/>
        <w:gridCol w:w="4678"/>
        <w:gridCol w:w="1701"/>
      </w:tblGrid>
      <w:tr w:rsidR="008B1583" w:rsidRPr="008B1583" w14:paraId="32A989A0" w14:textId="77777777" w:rsidTr="008B1583">
        <w:trPr>
          <w:tblHeader/>
        </w:trPr>
        <w:tc>
          <w:tcPr>
            <w:tcW w:w="1768" w:type="dxa"/>
            <w:shd w:val="clear" w:color="auto" w:fill="E5B8B7" w:themeFill="accent2" w:themeFillTint="66"/>
          </w:tcPr>
          <w:p w14:paraId="1C7FC418" w14:textId="4A2C2C58" w:rsidR="008B1583" w:rsidRPr="008B1583" w:rsidRDefault="008B1583" w:rsidP="00C40846">
            <w:pPr>
              <w:rPr>
                <w:rFonts w:asciiTheme="minorHAnsi" w:hAnsiTheme="minorHAnsi"/>
                <w:b/>
                <w:sz w:val="22"/>
                <w:szCs w:val="22"/>
              </w:rPr>
            </w:pPr>
            <w:r w:rsidRPr="008B1583">
              <w:rPr>
                <w:rFonts w:asciiTheme="minorHAnsi" w:hAnsiTheme="minorHAnsi"/>
                <w:b/>
                <w:sz w:val="22"/>
                <w:szCs w:val="22"/>
              </w:rPr>
              <w:lastRenderedPageBreak/>
              <w:t>Reserve / Provision</w:t>
            </w:r>
          </w:p>
        </w:tc>
        <w:tc>
          <w:tcPr>
            <w:tcW w:w="4606" w:type="dxa"/>
            <w:shd w:val="clear" w:color="auto" w:fill="E5B8B7" w:themeFill="accent2" w:themeFillTint="66"/>
          </w:tcPr>
          <w:p w14:paraId="6C9286A3"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Purpose</w:t>
            </w:r>
          </w:p>
        </w:tc>
        <w:tc>
          <w:tcPr>
            <w:tcW w:w="1559" w:type="dxa"/>
            <w:shd w:val="clear" w:color="auto" w:fill="E5B8B7" w:themeFill="accent2" w:themeFillTint="66"/>
          </w:tcPr>
          <w:p w14:paraId="4C441BB7"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Balance at</w:t>
            </w:r>
          </w:p>
          <w:p w14:paraId="6BE82919"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1 April 14</w:t>
            </w:r>
          </w:p>
          <w:p w14:paraId="447D9A52"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£’000</w:t>
            </w:r>
          </w:p>
        </w:tc>
        <w:tc>
          <w:tcPr>
            <w:tcW w:w="4678" w:type="dxa"/>
            <w:shd w:val="clear" w:color="auto" w:fill="E5B8B7" w:themeFill="accent2" w:themeFillTint="66"/>
          </w:tcPr>
          <w:p w14:paraId="2196078B"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Possible use in planning period?</w:t>
            </w:r>
          </w:p>
        </w:tc>
        <w:tc>
          <w:tcPr>
            <w:tcW w:w="1701" w:type="dxa"/>
            <w:shd w:val="clear" w:color="auto" w:fill="E5B8B7" w:themeFill="accent2" w:themeFillTint="66"/>
          </w:tcPr>
          <w:p w14:paraId="13AC2B7A"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Amount to be released in planning period?</w:t>
            </w:r>
          </w:p>
          <w:p w14:paraId="4F0CA1D7"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£’000</w:t>
            </w:r>
          </w:p>
        </w:tc>
      </w:tr>
      <w:tr w:rsidR="008B1583" w:rsidRPr="008B1583" w14:paraId="3E9C9FB8" w14:textId="77777777" w:rsidTr="008B1583">
        <w:tc>
          <w:tcPr>
            <w:tcW w:w="1768" w:type="dxa"/>
          </w:tcPr>
          <w:p w14:paraId="2D1194C5"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Equipment replacement provision</w:t>
            </w:r>
          </w:p>
        </w:tc>
        <w:tc>
          <w:tcPr>
            <w:tcW w:w="4606" w:type="dxa"/>
          </w:tcPr>
          <w:p w14:paraId="168514A6"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Smoothes out revenue expenditure – the provision funds replacement equipment and contributions are made back into the provision from revenue budget</w:t>
            </w:r>
          </w:p>
        </w:tc>
        <w:tc>
          <w:tcPr>
            <w:tcW w:w="1559" w:type="dxa"/>
          </w:tcPr>
          <w:p w14:paraId="0A75D7EF"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105</w:t>
            </w:r>
          </w:p>
        </w:tc>
        <w:tc>
          <w:tcPr>
            <w:tcW w:w="4678" w:type="dxa"/>
          </w:tcPr>
          <w:p w14:paraId="65E9A511"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Will continue to be used and topped up over planning period – unlikely to be depleted by 2019/20</w:t>
            </w:r>
          </w:p>
          <w:p w14:paraId="4F6E74B0" w14:textId="77777777" w:rsidR="008B1583" w:rsidRPr="008B1583" w:rsidRDefault="008B1583" w:rsidP="007C4A4F">
            <w:pPr>
              <w:rPr>
                <w:rFonts w:asciiTheme="minorHAnsi" w:hAnsiTheme="minorHAnsi"/>
                <w:sz w:val="22"/>
                <w:szCs w:val="22"/>
              </w:rPr>
            </w:pPr>
            <w:r w:rsidRPr="008B1583">
              <w:rPr>
                <w:rFonts w:asciiTheme="minorHAnsi" w:hAnsiTheme="minorHAnsi"/>
                <w:sz w:val="22"/>
                <w:szCs w:val="22"/>
              </w:rPr>
              <w:t>May lead to reduction in revenue budget in future years</w:t>
            </w:r>
          </w:p>
        </w:tc>
        <w:tc>
          <w:tcPr>
            <w:tcW w:w="1701" w:type="dxa"/>
          </w:tcPr>
          <w:p w14:paraId="5B7F52E9" w14:textId="77777777" w:rsidR="008B1583" w:rsidRPr="008B1583" w:rsidRDefault="008B1583" w:rsidP="00C40846">
            <w:pPr>
              <w:rPr>
                <w:rFonts w:asciiTheme="minorHAnsi" w:hAnsiTheme="minorHAnsi"/>
                <w:sz w:val="22"/>
                <w:szCs w:val="22"/>
              </w:rPr>
            </w:pPr>
          </w:p>
        </w:tc>
      </w:tr>
      <w:tr w:rsidR="008B1583" w:rsidRPr="008B1583" w14:paraId="43343EFA" w14:textId="77777777" w:rsidTr="008B1583">
        <w:tc>
          <w:tcPr>
            <w:tcW w:w="1768" w:type="dxa"/>
          </w:tcPr>
          <w:p w14:paraId="19A81EFA"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Pension liabilities reserve</w:t>
            </w:r>
          </w:p>
        </w:tc>
        <w:tc>
          <w:tcPr>
            <w:tcW w:w="4606" w:type="dxa"/>
          </w:tcPr>
          <w:p w14:paraId="61B91B16"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To meet one-off contributions required into Pensions Account for ill-health retirements</w:t>
            </w:r>
          </w:p>
          <w:p w14:paraId="1550F2A9"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 xml:space="preserve">Will also cover pension liabilities arising from the Part-Time Workers (PTW) tribunal </w:t>
            </w:r>
          </w:p>
          <w:p w14:paraId="5D7A04CD" w14:textId="77777777" w:rsidR="008B1583" w:rsidRPr="008B1583" w:rsidRDefault="008B1583" w:rsidP="008544CD">
            <w:pPr>
              <w:rPr>
                <w:rFonts w:asciiTheme="minorHAnsi" w:hAnsiTheme="minorHAnsi"/>
                <w:sz w:val="22"/>
                <w:szCs w:val="22"/>
              </w:rPr>
            </w:pPr>
            <w:r w:rsidRPr="008B1583">
              <w:rPr>
                <w:rFonts w:asciiTheme="minorHAnsi" w:hAnsiTheme="minorHAnsi"/>
                <w:sz w:val="22"/>
                <w:szCs w:val="22"/>
              </w:rPr>
              <w:t xml:space="preserve">£100k added for any one-off transitional costs that may arise from Public Value proposals also pension liabilities in the 2015 regulations to fund “unreduced pensions” </w:t>
            </w:r>
          </w:p>
        </w:tc>
        <w:tc>
          <w:tcPr>
            <w:tcW w:w="1559" w:type="dxa"/>
          </w:tcPr>
          <w:p w14:paraId="2D170A49"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1,755</w:t>
            </w:r>
          </w:p>
          <w:p w14:paraId="67F255E1" w14:textId="77777777" w:rsidR="008B1583" w:rsidRPr="008B1583" w:rsidRDefault="008B1583" w:rsidP="00C40846">
            <w:pPr>
              <w:rPr>
                <w:rFonts w:asciiTheme="minorHAnsi" w:hAnsiTheme="minorHAnsi"/>
                <w:i/>
                <w:sz w:val="22"/>
                <w:szCs w:val="22"/>
              </w:rPr>
            </w:pPr>
          </w:p>
          <w:p w14:paraId="56D57DE4" w14:textId="77777777" w:rsidR="008B1583" w:rsidRPr="008B1583" w:rsidRDefault="008B1583" w:rsidP="00C40846">
            <w:pPr>
              <w:rPr>
                <w:rFonts w:asciiTheme="minorHAnsi" w:hAnsiTheme="minorHAnsi"/>
                <w:sz w:val="22"/>
                <w:szCs w:val="22"/>
              </w:rPr>
            </w:pPr>
            <w:r w:rsidRPr="008B1583">
              <w:rPr>
                <w:rFonts w:asciiTheme="minorHAnsi" w:hAnsiTheme="minorHAnsi"/>
                <w:i/>
                <w:sz w:val="22"/>
                <w:szCs w:val="22"/>
              </w:rPr>
              <w:t>(£300k added in year)</w:t>
            </w:r>
          </w:p>
        </w:tc>
        <w:tc>
          <w:tcPr>
            <w:tcW w:w="4678" w:type="dxa"/>
          </w:tcPr>
          <w:p w14:paraId="574B75E8"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Pension costs from PTW tribunal will now be funded via employer contribution rather than lump sum</w:t>
            </w:r>
          </w:p>
          <w:p w14:paraId="04F73C92"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Ill-health charges from revenue budget into Pensions Account will be funded from here in their entirety:</w:t>
            </w:r>
          </w:p>
          <w:p w14:paraId="1BDB671C"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1 per year would cost £480k by 2019/20</w:t>
            </w:r>
          </w:p>
          <w:p w14:paraId="4B0F6E3E"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2 per year would cost £960k by 2019/20</w:t>
            </w:r>
          </w:p>
          <w:p w14:paraId="2A052EE5"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Contributions would be made back into the reserve from the revenue budget</w:t>
            </w:r>
          </w:p>
          <w:p w14:paraId="23E4D006" w14:textId="77777777" w:rsidR="008B1583" w:rsidRPr="008B1583" w:rsidRDefault="008B1583" w:rsidP="008544CD">
            <w:pPr>
              <w:rPr>
                <w:rFonts w:asciiTheme="minorHAnsi" w:hAnsiTheme="minorHAnsi"/>
                <w:sz w:val="22"/>
                <w:szCs w:val="22"/>
              </w:rPr>
            </w:pPr>
            <w:r w:rsidRPr="008B1583">
              <w:rPr>
                <w:rFonts w:asciiTheme="minorHAnsi" w:hAnsiTheme="minorHAnsi"/>
                <w:sz w:val="22"/>
                <w:szCs w:val="22"/>
              </w:rPr>
              <w:t>Likely that use of reserves for 2015 pensions will be used during this period</w:t>
            </w:r>
          </w:p>
        </w:tc>
        <w:tc>
          <w:tcPr>
            <w:tcW w:w="1701" w:type="dxa"/>
          </w:tcPr>
          <w:p w14:paraId="1C0D3EF0"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720</w:t>
            </w:r>
          </w:p>
        </w:tc>
      </w:tr>
      <w:tr w:rsidR="008B1583" w:rsidRPr="008B1583" w14:paraId="5B3F4A4D" w14:textId="77777777" w:rsidTr="008B1583">
        <w:tc>
          <w:tcPr>
            <w:tcW w:w="1768" w:type="dxa"/>
          </w:tcPr>
          <w:p w14:paraId="4660C2BA"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Earmarked capital reserve</w:t>
            </w:r>
          </w:p>
        </w:tc>
        <w:tc>
          <w:tcPr>
            <w:tcW w:w="4606" w:type="dxa"/>
          </w:tcPr>
          <w:p w14:paraId="091B4579"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Used to fund small and recurring items of capital thus avoiding increased borrowing costs on the revenue budget</w:t>
            </w:r>
          </w:p>
          <w:p w14:paraId="7644D5A5"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Contributions are currently made back into the reserve from the revenue budget.  These may cease as part of the 2020 process</w:t>
            </w:r>
          </w:p>
          <w:p w14:paraId="49C51EF7"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In order to avoid debt charges beyond 2019/20 we need to confirm the capital programme and ensure that we have these costs covered in the reserve</w:t>
            </w:r>
          </w:p>
        </w:tc>
        <w:tc>
          <w:tcPr>
            <w:tcW w:w="1559" w:type="dxa"/>
          </w:tcPr>
          <w:p w14:paraId="2A41C5AB"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3,160</w:t>
            </w:r>
          </w:p>
          <w:p w14:paraId="38490617" w14:textId="77777777" w:rsidR="008B1583" w:rsidRPr="008B1583" w:rsidRDefault="008B1583" w:rsidP="00C40846">
            <w:pPr>
              <w:rPr>
                <w:rFonts w:asciiTheme="minorHAnsi" w:hAnsiTheme="minorHAnsi"/>
                <w:i/>
                <w:sz w:val="22"/>
                <w:szCs w:val="22"/>
              </w:rPr>
            </w:pPr>
          </w:p>
          <w:p w14:paraId="647B7971" w14:textId="77777777" w:rsidR="008B1583" w:rsidRPr="008B1583" w:rsidRDefault="008B1583" w:rsidP="00C40846">
            <w:pPr>
              <w:rPr>
                <w:rFonts w:asciiTheme="minorHAnsi" w:hAnsiTheme="minorHAnsi"/>
                <w:i/>
                <w:sz w:val="22"/>
                <w:szCs w:val="22"/>
              </w:rPr>
            </w:pPr>
            <w:r w:rsidRPr="008B1583">
              <w:rPr>
                <w:rFonts w:asciiTheme="minorHAnsi" w:hAnsiTheme="minorHAnsi"/>
                <w:i/>
                <w:sz w:val="22"/>
                <w:szCs w:val="22"/>
              </w:rPr>
              <w:t>Surplus £691k</w:t>
            </w:r>
          </w:p>
          <w:p w14:paraId="6FEEE320" w14:textId="77777777" w:rsidR="008B1583" w:rsidRPr="008B1583" w:rsidRDefault="008B1583" w:rsidP="00C40846">
            <w:pPr>
              <w:rPr>
                <w:rFonts w:asciiTheme="minorHAnsi" w:hAnsiTheme="minorHAnsi"/>
                <w:i/>
                <w:sz w:val="22"/>
                <w:szCs w:val="22"/>
              </w:rPr>
            </w:pPr>
            <w:r w:rsidRPr="008B1583">
              <w:rPr>
                <w:rFonts w:asciiTheme="minorHAnsi" w:hAnsiTheme="minorHAnsi"/>
                <w:i/>
                <w:sz w:val="22"/>
                <w:szCs w:val="22"/>
              </w:rPr>
              <w:t>Conts £108k</w:t>
            </w:r>
          </w:p>
          <w:p w14:paraId="3A8C453A" w14:textId="77777777" w:rsidR="008B1583" w:rsidRPr="008B1583" w:rsidRDefault="008B1583" w:rsidP="00C40846">
            <w:pPr>
              <w:rPr>
                <w:rFonts w:asciiTheme="minorHAnsi" w:hAnsiTheme="minorHAnsi"/>
                <w:i/>
                <w:sz w:val="22"/>
                <w:szCs w:val="22"/>
              </w:rPr>
            </w:pPr>
            <w:r w:rsidRPr="008B1583">
              <w:rPr>
                <w:rFonts w:asciiTheme="minorHAnsi" w:hAnsiTheme="minorHAnsi"/>
                <w:i/>
                <w:sz w:val="22"/>
                <w:szCs w:val="22"/>
              </w:rPr>
              <w:t>Schemes that are ongoing £857k</w:t>
            </w:r>
          </w:p>
          <w:p w14:paraId="32488CA0" w14:textId="77777777" w:rsidR="008B1583" w:rsidRPr="008B1583" w:rsidRDefault="008B1583" w:rsidP="00C40846">
            <w:pPr>
              <w:rPr>
                <w:rFonts w:asciiTheme="minorHAnsi" w:hAnsiTheme="minorHAnsi"/>
                <w:sz w:val="22"/>
                <w:szCs w:val="22"/>
              </w:rPr>
            </w:pPr>
          </w:p>
          <w:p w14:paraId="2447A5B3" w14:textId="77777777" w:rsidR="008B1583" w:rsidRPr="008B1583" w:rsidRDefault="008B1583" w:rsidP="00C40846">
            <w:pPr>
              <w:rPr>
                <w:rFonts w:asciiTheme="minorHAnsi" w:hAnsiTheme="minorHAnsi"/>
                <w:sz w:val="22"/>
                <w:szCs w:val="22"/>
              </w:rPr>
            </w:pPr>
          </w:p>
        </w:tc>
        <w:tc>
          <w:tcPr>
            <w:tcW w:w="4678" w:type="dxa"/>
          </w:tcPr>
          <w:p w14:paraId="6BAC9A1E"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Reserve likely to stand still between now and 19/20 – but further schemes to be added to the capital programme</w:t>
            </w:r>
          </w:p>
          <w:p w14:paraId="57A165C9" w14:textId="77777777" w:rsidR="008B1583" w:rsidRPr="008B1583" w:rsidRDefault="008B1583" w:rsidP="00B739FA">
            <w:pPr>
              <w:rPr>
                <w:rFonts w:asciiTheme="minorHAnsi" w:hAnsiTheme="minorHAnsi"/>
                <w:sz w:val="22"/>
                <w:szCs w:val="22"/>
              </w:rPr>
            </w:pPr>
            <w:r w:rsidRPr="008B1583">
              <w:rPr>
                <w:rFonts w:asciiTheme="minorHAnsi" w:hAnsiTheme="minorHAnsi"/>
                <w:sz w:val="22"/>
                <w:szCs w:val="22"/>
              </w:rPr>
              <w:t>Reserve will need to be maintained to cover replacement assets beyond the planning period</w:t>
            </w:r>
          </w:p>
          <w:p w14:paraId="65CAB7A5" w14:textId="77777777" w:rsidR="008B1583" w:rsidRPr="008B1583" w:rsidRDefault="008B1583" w:rsidP="00B739FA">
            <w:pPr>
              <w:rPr>
                <w:rFonts w:asciiTheme="minorHAnsi" w:hAnsiTheme="minorHAnsi"/>
                <w:i/>
                <w:sz w:val="22"/>
                <w:szCs w:val="22"/>
              </w:rPr>
            </w:pPr>
          </w:p>
          <w:p w14:paraId="2CF416CD" w14:textId="77777777" w:rsidR="008B1583" w:rsidRPr="008B1583" w:rsidRDefault="008B1583" w:rsidP="00B739FA">
            <w:pPr>
              <w:rPr>
                <w:rFonts w:asciiTheme="minorHAnsi" w:hAnsiTheme="minorHAnsi"/>
                <w:sz w:val="22"/>
                <w:szCs w:val="22"/>
              </w:rPr>
            </w:pPr>
            <w:r w:rsidRPr="008B1583">
              <w:rPr>
                <w:rFonts w:asciiTheme="minorHAnsi" w:hAnsiTheme="minorHAnsi"/>
                <w:sz w:val="22"/>
                <w:szCs w:val="22"/>
              </w:rPr>
              <w:t>No contributions to be made into reserve from 15/16</w:t>
            </w:r>
          </w:p>
          <w:p w14:paraId="2B1B727E" w14:textId="77777777" w:rsidR="008B1583" w:rsidRPr="008B1583" w:rsidRDefault="008B1583" w:rsidP="00C40846">
            <w:pPr>
              <w:rPr>
                <w:rFonts w:asciiTheme="minorHAnsi" w:hAnsiTheme="minorHAnsi"/>
                <w:sz w:val="22"/>
                <w:szCs w:val="22"/>
              </w:rPr>
            </w:pPr>
          </w:p>
        </w:tc>
        <w:tc>
          <w:tcPr>
            <w:tcW w:w="1701" w:type="dxa"/>
          </w:tcPr>
          <w:p w14:paraId="57041234" w14:textId="77777777" w:rsidR="008B1583" w:rsidRPr="008B1583" w:rsidRDefault="008B1583" w:rsidP="00C40846">
            <w:pPr>
              <w:rPr>
                <w:rFonts w:asciiTheme="minorHAnsi" w:hAnsiTheme="minorHAnsi"/>
                <w:i/>
                <w:sz w:val="22"/>
                <w:szCs w:val="22"/>
              </w:rPr>
            </w:pPr>
            <w:r w:rsidRPr="008B1583">
              <w:rPr>
                <w:rFonts w:asciiTheme="minorHAnsi" w:hAnsiTheme="minorHAnsi"/>
                <w:i/>
                <w:sz w:val="22"/>
                <w:szCs w:val="22"/>
              </w:rPr>
              <w:t>£857k</w:t>
            </w:r>
          </w:p>
          <w:p w14:paraId="523B4B34" w14:textId="77777777" w:rsidR="008B1583" w:rsidRPr="008B1583" w:rsidRDefault="008B1583" w:rsidP="00C40846">
            <w:pPr>
              <w:rPr>
                <w:rFonts w:asciiTheme="minorHAnsi" w:hAnsiTheme="minorHAnsi"/>
                <w:i/>
                <w:sz w:val="22"/>
                <w:szCs w:val="22"/>
              </w:rPr>
            </w:pPr>
          </w:p>
          <w:p w14:paraId="47C0DC76" w14:textId="77777777" w:rsidR="008B1583" w:rsidRPr="008B1583" w:rsidRDefault="008B1583" w:rsidP="00C40846">
            <w:pPr>
              <w:rPr>
                <w:rFonts w:asciiTheme="minorHAnsi" w:hAnsiTheme="minorHAnsi"/>
                <w:i/>
                <w:sz w:val="22"/>
                <w:szCs w:val="22"/>
              </w:rPr>
            </w:pPr>
          </w:p>
          <w:p w14:paraId="4CD67B26" w14:textId="77777777" w:rsidR="008B1583" w:rsidRPr="008B1583" w:rsidRDefault="008B1583" w:rsidP="00C40846">
            <w:pPr>
              <w:rPr>
                <w:rFonts w:asciiTheme="minorHAnsi" w:hAnsiTheme="minorHAnsi"/>
                <w:i/>
                <w:sz w:val="22"/>
                <w:szCs w:val="22"/>
              </w:rPr>
            </w:pPr>
            <w:r w:rsidRPr="008B1583">
              <w:rPr>
                <w:rFonts w:asciiTheme="minorHAnsi" w:hAnsiTheme="minorHAnsi"/>
                <w:i/>
                <w:sz w:val="22"/>
                <w:szCs w:val="22"/>
              </w:rPr>
              <w:t>? TC</w:t>
            </w:r>
          </w:p>
        </w:tc>
      </w:tr>
      <w:tr w:rsidR="008B1583" w:rsidRPr="008B1583" w14:paraId="5C30BE22" w14:textId="77777777" w:rsidTr="008B1583">
        <w:tc>
          <w:tcPr>
            <w:tcW w:w="1768" w:type="dxa"/>
          </w:tcPr>
          <w:p w14:paraId="26126296"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lastRenderedPageBreak/>
              <w:t>Unearmarked capital reserve</w:t>
            </w:r>
          </w:p>
        </w:tc>
        <w:tc>
          <w:tcPr>
            <w:tcW w:w="4606" w:type="dxa"/>
          </w:tcPr>
          <w:p w14:paraId="2A5CDC93"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Reserve has been built up from revenue savings and was used to fund the HQ project, avoiding borrowing into the long term</w:t>
            </w:r>
          </w:p>
          <w:p w14:paraId="4786C333"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Will now be used to fund other major projects</w:t>
            </w:r>
          </w:p>
        </w:tc>
        <w:tc>
          <w:tcPr>
            <w:tcW w:w="1559" w:type="dxa"/>
          </w:tcPr>
          <w:p w14:paraId="17FB6687"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1,322</w:t>
            </w:r>
          </w:p>
          <w:p w14:paraId="22990B35" w14:textId="77777777" w:rsidR="008B1583" w:rsidRPr="008B1583" w:rsidRDefault="008B1583" w:rsidP="00C40846">
            <w:pPr>
              <w:rPr>
                <w:rFonts w:asciiTheme="minorHAnsi" w:hAnsiTheme="minorHAnsi"/>
                <w:i/>
                <w:sz w:val="22"/>
                <w:szCs w:val="22"/>
              </w:rPr>
            </w:pPr>
          </w:p>
          <w:p w14:paraId="644FB2A3" w14:textId="77777777" w:rsidR="008B1583" w:rsidRPr="008B1583" w:rsidRDefault="008B1583" w:rsidP="0039026F">
            <w:pPr>
              <w:rPr>
                <w:rFonts w:asciiTheme="minorHAnsi" w:hAnsiTheme="minorHAnsi"/>
                <w:i/>
                <w:sz w:val="22"/>
                <w:szCs w:val="22"/>
              </w:rPr>
            </w:pPr>
            <w:r w:rsidRPr="008B1583">
              <w:rPr>
                <w:rFonts w:asciiTheme="minorHAnsi" w:hAnsiTheme="minorHAnsi"/>
                <w:i/>
                <w:sz w:val="22"/>
                <w:szCs w:val="22"/>
              </w:rPr>
              <w:t>£300k added at end 1314 for Telford Central</w:t>
            </w:r>
          </w:p>
        </w:tc>
        <w:tc>
          <w:tcPr>
            <w:tcW w:w="4678" w:type="dxa"/>
          </w:tcPr>
          <w:p w14:paraId="608514DE"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Issues being considered as part of 2020 scenario planning:</w:t>
            </w:r>
          </w:p>
          <w:p w14:paraId="6C7E79F0"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Relocation of fire stations to ensure optimum fire cover, including establishment costs for a retained duty system station</w:t>
            </w:r>
          </w:p>
          <w:p w14:paraId="4B18DE9A"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Accommodation associated with changes to crewing systems on wholetime stations</w:t>
            </w:r>
          </w:p>
          <w:p w14:paraId="1420A1E0"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A major development scheme at Telford Central is likely over the planning period, any surpluses from revenue budget will be posted here to fund the development.</w:t>
            </w:r>
          </w:p>
        </w:tc>
        <w:tc>
          <w:tcPr>
            <w:tcW w:w="1701" w:type="dxa"/>
          </w:tcPr>
          <w:p w14:paraId="42EEBF61" w14:textId="77777777" w:rsidR="008B1583" w:rsidRPr="008B1583" w:rsidRDefault="008B1583" w:rsidP="00C40846">
            <w:pPr>
              <w:rPr>
                <w:rFonts w:asciiTheme="minorHAnsi" w:hAnsiTheme="minorHAnsi"/>
                <w:i/>
                <w:sz w:val="22"/>
                <w:szCs w:val="22"/>
              </w:rPr>
            </w:pPr>
          </w:p>
        </w:tc>
      </w:tr>
      <w:tr w:rsidR="008B1583" w:rsidRPr="008B1583" w14:paraId="4255106F" w14:textId="77777777" w:rsidTr="008B1583">
        <w:tc>
          <w:tcPr>
            <w:tcW w:w="1768" w:type="dxa"/>
          </w:tcPr>
          <w:p w14:paraId="54FB0CA5" w14:textId="77777777" w:rsidR="008B1583" w:rsidRPr="008B1583" w:rsidRDefault="008B1583" w:rsidP="00D31F20">
            <w:pPr>
              <w:rPr>
                <w:rFonts w:asciiTheme="minorHAnsi" w:hAnsiTheme="minorHAnsi"/>
                <w:b/>
                <w:sz w:val="22"/>
                <w:szCs w:val="22"/>
              </w:rPr>
            </w:pPr>
            <w:r w:rsidRPr="008B1583">
              <w:rPr>
                <w:rFonts w:asciiTheme="minorHAnsi" w:hAnsiTheme="minorHAnsi"/>
                <w:b/>
                <w:sz w:val="22"/>
                <w:szCs w:val="22"/>
              </w:rPr>
              <w:t>ICT reserve</w:t>
            </w:r>
          </w:p>
        </w:tc>
        <w:tc>
          <w:tcPr>
            <w:tcW w:w="4606" w:type="dxa"/>
          </w:tcPr>
          <w:p w14:paraId="3E20FE2B"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ensure that ICT improvements and resilience issues are managed and funded in a clear and consistent manner</w:t>
            </w:r>
          </w:p>
        </w:tc>
        <w:tc>
          <w:tcPr>
            <w:tcW w:w="1559" w:type="dxa"/>
          </w:tcPr>
          <w:p w14:paraId="12C38480" w14:textId="77777777" w:rsidR="008B1583" w:rsidRPr="008B1583" w:rsidRDefault="008B1583" w:rsidP="009507E5">
            <w:pPr>
              <w:rPr>
                <w:rFonts w:asciiTheme="minorHAnsi" w:hAnsiTheme="minorHAnsi"/>
                <w:i/>
                <w:sz w:val="22"/>
                <w:szCs w:val="22"/>
              </w:rPr>
            </w:pPr>
            <w:r w:rsidRPr="008B1583">
              <w:rPr>
                <w:rFonts w:asciiTheme="minorHAnsi" w:hAnsiTheme="minorHAnsi"/>
                <w:sz w:val="22"/>
                <w:szCs w:val="22"/>
              </w:rPr>
              <w:t>1,356</w:t>
            </w:r>
          </w:p>
          <w:p w14:paraId="71BEE3E9" w14:textId="77777777" w:rsidR="008B1583" w:rsidRPr="008B1583" w:rsidRDefault="008B1583" w:rsidP="009507E5">
            <w:pPr>
              <w:rPr>
                <w:rFonts w:asciiTheme="minorHAnsi" w:hAnsiTheme="minorHAnsi"/>
                <w:i/>
                <w:sz w:val="22"/>
                <w:szCs w:val="22"/>
              </w:rPr>
            </w:pPr>
          </w:p>
          <w:p w14:paraId="433A5170" w14:textId="77777777" w:rsidR="008B1583" w:rsidRPr="008B1583" w:rsidRDefault="008B1583" w:rsidP="009507E5">
            <w:pPr>
              <w:rPr>
                <w:rFonts w:asciiTheme="minorHAnsi" w:hAnsiTheme="minorHAnsi"/>
                <w:i/>
                <w:sz w:val="22"/>
                <w:szCs w:val="22"/>
              </w:rPr>
            </w:pPr>
            <w:r w:rsidRPr="008B1583">
              <w:rPr>
                <w:rFonts w:asciiTheme="minorHAnsi" w:hAnsiTheme="minorHAnsi"/>
                <w:i/>
                <w:sz w:val="22"/>
                <w:szCs w:val="22"/>
              </w:rPr>
              <w:t>£330k added at end 2013/14</w:t>
            </w:r>
          </w:p>
        </w:tc>
        <w:tc>
          <w:tcPr>
            <w:tcW w:w="4678" w:type="dxa"/>
          </w:tcPr>
          <w:p w14:paraId="2F530FD4"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£811k is Department of Communities and Local Government grant for Hereford &amp; Worcester collaboration – should be used by the end of 2014</w:t>
            </w:r>
          </w:p>
        </w:tc>
        <w:tc>
          <w:tcPr>
            <w:tcW w:w="1701" w:type="dxa"/>
          </w:tcPr>
          <w:p w14:paraId="2092FF33" w14:textId="77777777" w:rsidR="008B1583" w:rsidRPr="008B1583" w:rsidRDefault="008B1583" w:rsidP="009507E5">
            <w:pPr>
              <w:rPr>
                <w:rFonts w:asciiTheme="minorHAnsi" w:hAnsiTheme="minorHAnsi"/>
                <w:i/>
                <w:sz w:val="22"/>
                <w:szCs w:val="22"/>
              </w:rPr>
            </w:pPr>
            <w:r w:rsidRPr="008B1583">
              <w:rPr>
                <w:rFonts w:asciiTheme="minorHAnsi" w:hAnsiTheme="minorHAnsi"/>
                <w:sz w:val="22"/>
                <w:szCs w:val="22"/>
              </w:rPr>
              <w:t>811</w:t>
            </w:r>
          </w:p>
        </w:tc>
      </w:tr>
      <w:tr w:rsidR="008B1583" w:rsidRPr="008B1583" w14:paraId="09614393" w14:textId="77777777" w:rsidTr="008B1583">
        <w:tc>
          <w:tcPr>
            <w:tcW w:w="1768" w:type="dxa"/>
          </w:tcPr>
          <w:p w14:paraId="5464420C"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Income volatility reserve</w:t>
            </w:r>
          </w:p>
        </w:tc>
        <w:tc>
          <w:tcPr>
            <w:tcW w:w="4606" w:type="dxa"/>
          </w:tcPr>
          <w:p w14:paraId="2546AA64"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smooth any volatility or fluctuations in funding received against estimates in the Medium Term Corporate Plan</w:t>
            </w:r>
          </w:p>
        </w:tc>
        <w:tc>
          <w:tcPr>
            <w:tcW w:w="1559" w:type="dxa"/>
          </w:tcPr>
          <w:p w14:paraId="2303849D"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1,137</w:t>
            </w:r>
          </w:p>
        </w:tc>
        <w:tc>
          <w:tcPr>
            <w:tcW w:w="4678" w:type="dxa"/>
          </w:tcPr>
          <w:p w14:paraId="59033D0C"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May be used to close early deficits anticipated in the planning period</w:t>
            </w:r>
          </w:p>
          <w:p w14:paraId="6C49D02C" w14:textId="77777777" w:rsidR="008B1583" w:rsidRPr="008B1583" w:rsidRDefault="008B1583" w:rsidP="007C4A4F">
            <w:pPr>
              <w:rPr>
                <w:rFonts w:asciiTheme="minorHAnsi" w:hAnsiTheme="minorHAnsi"/>
                <w:sz w:val="22"/>
                <w:szCs w:val="22"/>
              </w:rPr>
            </w:pPr>
          </w:p>
        </w:tc>
        <w:tc>
          <w:tcPr>
            <w:tcW w:w="1701" w:type="dxa"/>
          </w:tcPr>
          <w:p w14:paraId="66C40784"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780</w:t>
            </w:r>
          </w:p>
        </w:tc>
      </w:tr>
      <w:tr w:rsidR="008B1583" w:rsidRPr="008B1583" w14:paraId="2D79AF0D" w14:textId="77777777" w:rsidTr="008B1583">
        <w:tc>
          <w:tcPr>
            <w:tcW w:w="1768" w:type="dxa"/>
          </w:tcPr>
          <w:p w14:paraId="736A121A"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Extreme weather and operational incidents reserve</w:t>
            </w:r>
          </w:p>
        </w:tc>
        <w:tc>
          <w:tcPr>
            <w:tcW w:w="4606" w:type="dxa"/>
          </w:tcPr>
          <w:p w14:paraId="47455606"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deal with incidents resulting from extreme weather conditions or operational scenarios, which cost over and above normal retained budget levels</w:t>
            </w:r>
          </w:p>
        </w:tc>
        <w:tc>
          <w:tcPr>
            <w:tcW w:w="1559" w:type="dxa"/>
          </w:tcPr>
          <w:p w14:paraId="4A01F148"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334</w:t>
            </w:r>
          </w:p>
        </w:tc>
        <w:tc>
          <w:tcPr>
            <w:tcW w:w="4678" w:type="dxa"/>
          </w:tcPr>
          <w:p w14:paraId="47922D79"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Holding this reserve will facilitate further reductions in the revenue budget, thereby reducing deficit in the later years of the planning period</w:t>
            </w:r>
          </w:p>
          <w:p w14:paraId="4DE75E63"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This reserve will be used for extreme incidents, meaning that a lower level of average activity can be budgeted for</w:t>
            </w:r>
          </w:p>
        </w:tc>
        <w:tc>
          <w:tcPr>
            <w:tcW w:w="1701" w:type="dxa"/>
          </w:tcPr>
          <w:p w14:paraId="401CD73A" w14:textId="77777777" w:rsidR="008B1583" w:rsidRPr="008B1583" w:rsidRDefault="008B1583" w:rsidP="00C40846">
            <w:pPr>
              <w:rPr>
                <w:rFonts w:asciiTheme="minorHAnsi" w:hAnsiTheme="minorHAnsi"/>
                <w:sz w:val="22"/>
                <w:szCs w:val="22"/>
              </w:rPr>
            </w:pPr>
          </w:p>
        </w:tc>
      </w:tr>
      <w:tr w:rsidR="008B1583" w:rsidRPr="008B1583" w14:paraId="14E480A5" w14:textId="77777777" w:rsidTr="008B1583">
        <w:tc>
          <w:tcPr>
            <w:tcW w:w="1768" w:type="dxa"/>
          </w:tcPr>
          <w:p w14:paraId="303D5D8A"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Service Transformation Programme (STP) staff reserve</w:t>
            </w:r>
          </w:p>
        </w:tc>
        <w:tc>
          <w:tcPr>
            <w:tcW w:w="4606" w:type="dxa"/>
          </w:tcPr>
          <w:p w14:paraId="3D3A4C7A"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cover secondments and appointment of staff to work on projects within the STP</w:t>
            </w:r>
          </w:p>
        </w:tc>
        <w:tc>
          <w:tcPr>
            <w:tcW w:w="1559" w:type="dxa"/>
          </w:tcPr>
          <w:p w14:paraId="0094B9E5"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515</w:t>
            </w:r>
          </w:p>
          <w:p w14:paraId="64AC23F0" w14:textId="77777777" w:rsidR="008B1583" w:rsidRPr="008B1583" w:rsidRDefault="008B1583" w:rsidP="00C40846">
            <w:pPr>
              <w:rPr>
                <w:rFonts w:asciiTheme="minorHAnsi" w:hAnsiTheme="minorHAnsi"/>
                <w:i/>
                <w:sz w:val="22"/>
                <w:szCs w:val="22"/>
              </w:rPr>
            </w:pPr>
          </w:p>
          <w:p w14:paraId="3AEB8C4D" w14:textId="77777777" w:rsidR="008B1583" w:rsidRPr="008B1583" w:rsidRDefault="008B1583" w:rsidP="002677C3">
            <w:pPr>
              <w:rPr>
                <w:rFonts w:asciiTheme="minorHAnsi" w:hAnsiTheme="minorHAnsi"/>
                <w:i/>
                <w:sz w:val="22"/>
                <w:szCs w:val="22"/>
              </w:rPr>
            </w:pPr>
            <w:r w:rsidRPr="008B1583">
              <w:rPr>
                <w:rFonts w:asciiTheme="minorHAnsi" w:hAnsiTheme="minorHAnsi"/>
                <w:i/>
                <w:sz w:val="22"/>
                <w:szCs w:val="22"/>
              </w:rPr>
              <w:t xml:space="preserve">Some used in year, £240k added at end 2013/14 </w:t>
            </w:r>
          </w:p>
        </w:tc>
        <w:tc>
          <w:tcPr>
            <w:tcW w:w="4678" w:type="dxa"/>
          </w:tcPr>
          <w:p w14:paraId="79722A4E"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This reserve should be depleted by 2019/20 as the Programme projects are completed</w:t>
            </w:r>
          </w:p>
        </w:tc>
        <w:tc>
          <w:tcPr>
            <w:tcW w:w="1701" w:type="dxa"/>
          </w:tcPr>
          <w:p w14:paraId="2BCDE55A"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515</w:t>
            </w:r>
          </w:p>
        </w:tc>
      </w:tr>
      <w:tr w:rsidR="008B1583" w:rsidRPr="008B1583" w14:paraId="3EFB866A" w14:textId="77777777" w:rsidTr="008B1583">
        <w:tc>
          <w:tcPr>
            <w:tcW w:w="1768" w:type="dxa"/>
          </w:tcPr>
          <w:p w14:paraId="1D27F058"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lastRenderedPageBreak/>
              <w:t>Service delivery reserve</w:t>
            </w:r>
          </w:p>
        </w:tc>
        <w:tc>
          <w:tcPr>
            <w:tcW w:w="4606" w:type="dxa"/>
          </w:tcPr>
          <w:p w14:paraId="203C0E80"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fund initiatives in service delivery and prevention</w:t>
            </w:r>
          </w:p>
        </w:tc>
        <w:tc>
          <w:tcPr>
            <w:tcW w:w="1559" w:type="dxa"/>
          </w:tcPr>
          <w:p w14:paraId="3B05169F"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236</w:t>
            </w:r>
          </w:p>
        </w:tc>
        <w:tc>
          <w:tcPr>
            <w:tcW w:w="4678" w:type="dxa"/>
          </w:tcPr>
          <w:p w14:paraId="4D41AE99"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This reserve should be depleted by 2019/20 – the majority of the reserve is New Dimension grant, which is being used to fund a Training Instructor post</w:t>
            </w:r>
          </w:p>
        </w:tc>
        <w:tc>
          <w:tcPr>
            <w:tcW w:w="1701" w:type="dxa"/>
          </w:tcPr>
          <w:p w14:paraId="6BD3FF71"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236</w:t>
            </w:r>
          </w:p>
        </w:tc>
      </w:tr>
      <w:tr w:rsidR="008B1583" w:rsidRPr="008B1583" w14:paraId="46FB702B" w14:textId="77777777" w:rsidTr="008B1583">
        <w:tc>
          <w:tcPr>
            <w:tcW w:w="1768" w:type="dxa"/>
          </w:tcPr>
          <w:p w14:paraId="52606DCB"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Training Reserve</w:t>
            </w:r>
          </w:p>
        </w:tc>
        <w:tc>
          <w:tcPr>
            <w:tcW w:w="4606" w:type="dxa"/>
          </w:tcPr>
          <w:p w14:paraId="5860E40E"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fund one-off training and development costs incurred due to changes in the management structure over the next few years</w:t>
            </w:r>
          </w:p>
          <w:p w14:paraId="1819C8BA"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Will relieve pressure on the revenue budget</w:t>
            </w:r>
          </w:p>
        </w:tc>
        <w:tc>
          <w:tcPr>
            <w:tcW w:w="1559" w:type="dxa"/>
          </w:tcPr>
          <w:p w14:paraId="303640AB"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255</w:t>
            </w:r>
          </w:p>
        </w:tc>
        <w:tc>
          <w:tcPr>
            <w:tcW w:w="4678" w:type="dxa"/>
          </w:tcPr>
          <w:p w14:paraId="2C5BA355"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The reserve may be 50% used by the end of the planning period</w:t>
            </w:r>
          </w:p>
          <w:p w14:paraId="5295CB18"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May be topped up with savings from the training revenue budgets</w:t>
            </w:r>
          </w:p>
        </w:tc>
        <w:tc>
          <w:tcPr>
            <w:tcW w:w="1701" w:type="dxa"/>
          </w:tcPr>
          <w:p w14:paraId="579D420A"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125</w:t>
            </w:r>
          </w:p>
        </w:tc>
      </w:tr>
      <w:tr w:rsidR="008B1583" w:rsidRPr="008B1583" w14:paraId="41FE5B5D" w14:textId="77777777" w:rsidTr="008B1583">
        <w:tc>
          <w:tcPr>
            <w:tcW w:w="1768" w:type="dxa"/>
          </w:tcPr>
          <w:p w14:paraId="370B0919" w14:textId="77777777" w:rsidR="008B1583" w:rsidRPr="008B1583" w:rsidRDefault="008B1583" w:rsidP="00C40846">
            <w:pPr>
              <w:rPr>
                <w:rFonts w:asciiTheme="minorHAnsi" w:hAnsiTheme="minorHAnsi"/>
                <w:b/>
                <w:sz w:val="22"/>
                <w:szCs w:val="22"/>
              </w:rPr>
            </w:pPr>
            <w:r w:rsidRPr="008B1583">
              <w:rPr>
                <w:rFonts w:asciiTheme="minorHAnsi" w:hAnsiTheme="minorHAnsi"/>
                <w:b/>
                <w:sz w:val="22"/>
                <w:szCs w:val="22"/>
              </w:rPr>
              <w:t>New operational equipment reserve</w:t>
            </w:r>
          </w:p>
        </w:tc>
        <w:tc>
          <w:tcPr>
            <w:tcW w:w="4606" w:type="dxa"/>
          </w:tcPr>
          <w:p w14:paraId="3D68D801"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Set up to support revenue budgets in this area</w:t>
            </w:r>
          </w:p>
          <w:p w14:paraId="7A33629F"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Large items of expenditure or new items of equipment could be funded from this reserve</w:t>
            </w:r>
          </w:p>
        </w:tc>
        <w:tc>
          <w:tcPr>
            <w:tcW w:w="1559" w:type="dxa"/>
          </w:tcPr>
          <w:p w14:paraId="205B59D0" w14:textId="77777777" w:rsidR="008B1583" w:rsidRPr="008B1583" w:rsidRDefault="008B1583" w:rsidP="00C40846">
            <w:pPr>
              <w:rPr>
                <w:rFonts w:asciiTheme="minorHAnsi" w:hAnsiTheme="minorHAnsi"/>
                <w:i/>
                <w:sz w:val="22"/>
                <w:szCs w:val="22"/>
              </w:rPr>
            </w:pPr>
            <w:r w:rsidRPr="008B1583">
              <w:rPr>
                <w:rFonts w:asciiTheme="minorHAnsi" w:hAnsiTheme="minorHAnsi"/>
                <w:sz w:val="22"/>
                <w:szCs w:val="22"/>
              </w:rPr>
              <w:t>278</w:t>
            </w:r>
          </w:p>
        </w:tc>
        <w:tc>
          <w:tcPr>
            <w:tcW w:w="4678" w:type="dxa"/>
          </w:tcPr>
          <w:p w14:paraId="6B913157"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Likely that reserve is topped up from savings from revenue budgets</w:t>
            </w:r>
          </w:p>
          <w:p w14:paraId="3C1EB9F6"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No reason for the reserve to be fully depleted by 19/20</w:t>
            </w:r>
          </w:p>
          <w:p w14:paraId="01D0E6D1" w14:textId="77777777" w:rsidR="008B1583" w:rsidRPr="008B1583" w:rsidRDefault="008B1583" w:rsidP="00C40846">
            <w:pPr>
              <w:rPr>
                <w:rFonts w:asciiTheme="minorHAnsi" w:hAnsiTheme="minorHAnsi"/>
                <w:sz w:val="22"/>
                <w:szCs w:val="22"/>
              </w:rPr>
            </w:pPr>
            <w:r w:rsidRPr="008B1583">
              <w:rPr>
                <w:rFonts w:asciiTheme="minorHAnsi" w:hAnsiTheme="minorHAnsi"/>
                <w:sz w:val="22"/>
                <w:szCs w:val="22"/>
              </w:rPr>
              <w:t>More likely to lead to cut in revenue budget</w:t>
            </w:r>
          </w:p>
        </w:tc>
        <w:tc>
          <w:tcPr>
            <w:tcW w:w="1701" w:type="dxa"/>
          </w:tcPr>
          <w:p w14:paraId="4633883D" w14:textId="77777777" w:rsidR="008B1583" w:rsidRPr="008B1583" w:rsidRDefault="008B1583" w:rsidP="00C40846">
            <w:pPr>
              <w:rPr>
                <w:rFonts w:asciiTheme="minorHAnsi" w:hAnsiTheme="minorHAnsi"/>
                <w:sz w:val="22"/>
                <w:szCs w:val="22"/>
              </w:rPr>
            </w:pPr>
          </w:p>
        </w:tc>
      </w:tr>
      <w:tr w:rsidR="008B1583" w:rsidRPr="008B1583" w14:paraId="29624B1A" w14:textId="77777777" w:rsidTr="008B1583">
        <w:tc>
          <w:tcPr>
            <w:tcW w:w="1768" w:type="dxa"/>
          </w:tcPr>
          <w:p w14:paraId="5603C90A" w14:textId="77777777" w:rsidR="008B1583" w:rsidRPr="008B1583" w:rsidRDefault="008B1583" w:rsidP="00D61248">
            <w:pPr>
              <w:rPr>
                <w:rFonts w:asciiTheme="minorHAnsi" w:hAnsiTheme="minorHAnsi"/>
                <w:b/>
                <w:sz w:val="22"/>
                <w:szCs w:val="22"/>
              </w:rPr>
            </w:pPr>
            <w:r w:rsidRPr="008B1583">
              <w:rPr>
                <w:rFonts w:asciiTheme="minorHAnsi" w:hAnsiTheme="minorHAnsi"/>
                <w:b/>
                <w:sz w:val="22"/>
                <w:szCs w:val="22"/>
              </w:rPr>
              <w:t>Buildings maintenance reserve</w:t>
            </w:r>
          </w:p>
        </w:tc>
        <w:tc>
          <w:tcPr>
            <w:tcW w:w="4606" w:type="dxa"/>
          </w:tcPr>
          <w:p w14:paraId="6A445EB2"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 xml:space="preserve">Set up to support revenue budget </w:t>
            </w:r>
          </w:p>
          <w:p w14:paraId="5BF1B93D"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Planned or preventative maintenance could be funded from revenue, with exceptional or unexpected repairs funded from the reserve</w:t>
            </w:r>
          </w:p>
        </w:tc>
        <w:tc>
          <w:tcPr>
            <w:tcW w:w="1559" w:type="dxa"/>
          </w:tcPr>
          <w:p w14:paraId="635C4C8C" w14:textId="77777777" w:rsidR="008B1583" w:rsidRPr="008B1583" w:rsidRDefault="008B1583" w:rsidP="00D61248">
            <w:pPr>
              <w:rPr>
                <w:rFonts w:asciiTheme="minorHAnsi" w:hAnsiTheme="minorHAnsi"/>
                <w:i/>
                <w:sz w:val="22"/>
                <w:szCs w:val="22"/>
              </w:rPr>
            </w:pPr>
            <w:r w:rsidRPr="008B1583">
              <w:rPr>
                <w:rFonts w:asciiTheme="minorHAnsi" w:hAnsiTheme="minorHAnsi"/>
                <w:sz w:val="22"/>
                <w:szCs w:val="22"/>
              </w:rPr>
              <w:t>408</w:t>
            </w:r>
          </w:p>
        </w:tc>
        <w:tc>
          <w:tcPr>
            <w:tcW w:w="4678" w:type="dxa"/>
          </w:tcPr>
          <w:p w14:paraId="66F18C92"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Likely that reserve is topped up from savings from revenue budgets</w:t>
            </w:r>
          </w:p>
          <w:p w14:paraId="5BAAA497"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No reason for the reserve to be fully depleted by 19/20</w:t>
            </w:r>
          </w:p>
          <w:p w14:paraId="3C790FBE"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More likely to lead to cut in revenue budget</w:t>
            </w:r>
          </w:p>
        </w:tc>
        <w:tc>
          <w:tcPr>
            <w:tcW w:w="1701" w:type="dxa"/>
          </w:tcPr>
          <w:p w14:paraId="0B5DD287" w14:textId="77777777" w:rsidR="008B1583" w:rsidRPr="008B1583" w:rsidRDefault="008B1583" w:rsidP="00D61248">
            <w:pPr>
              <w:rPr>
                <w:rFonts w:asciiTheme="minorHAnsi" w:hAnsiTheme="minorHAnsi"/>
                <w:sz w:val="22"/>
                <w:szCs w:val="22"/>
              </w:rPr>
            </w:pPr>
          </w:p>
        </w:tc>
      </w:tr>
      <w:tr w:rsidR="008B1583" w:rsidRPr="008B1583" w14:paraId="1989C38B" w14:textId="77777777" w:rsidTr="008B1583">
        <w:tc>
          <w:tcPr>
            <w:tcW w:w="1768" w:type="dxa"/>
          </w:tcPr>
          <w:p w14:paraId="3AE7F7EB" w14:textId="77777777" w:rsidR="008B1583" w:rsidRPr="008B1583" w:rsidRDefault="008B1583" w:rsidP="00D61248">
            <w:pPr>
              <w:rPr>
                <w:rFonts w:asciiTheme="minorHAnsi" w:hAnsiTheme="minorHAnsi"/>
                <w:b/>
                <w:sz w:val="22"/>
                <w:szCs w:val="22"/>
              </w:rPr>
            </w:pPr>
            <w:r w:rsidRPr="008B1583">
              <w:rPr>
                <w:rFonts w:asciiTheme="minorHAnsi" w:hAnsiTheme="minorHAnsi"/>
                <w:b/>
                <w:sz w:val="22"/>
                <w:szCs w:val="22"/>
              </w:rPr>
              <w:t>General reserve</w:t>
            </w:r>
          </w:p>
        </w:tc>
        <w:tc>
          <w:tcPr>
            <w:tcW w:w="4606" w:type="dxa"/>
          </w:tcPr>
          <w:p w14:paraId="701EB32E"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A reserve to meet risks known to the Authority which may or may not happen. Probability of occurrence is calculated and these pro rated costs provided for</w:t>
            </w:r>
          </w:p>
        </w:tc>
        <w:tc>
          <w:tcPr>
            <w:tcW w:w="1559" w:type="dxa"/>
          </w:tcPr>
          <w:p w14:paraId="64CCF07B" w14:textId="77777777" w:rsidR="008B1583" w:rsidRPr="008B1583" w:rsidRDefault="008B1583" w:rsidP="00D61248">
            <w:pPr>
              <w:rPr>
                <w:rFonts w:asciiTheme="minorHAnsi" w:hAnsiTheme="minorHAnsi"/>
                <w:i/>
                <w:sz w:val="22"/>
                <w:szCs w:val="22"/>
              </w:rPr>
            </w:pPr>
            <w:r w:rsidRPr="008B1583">
              <w:rPr>
                <w:rFonts w:asciiTheme="minorHAnsi" w:hAnsiTheme="minorHAnsi"/>
                <w:sz w:val="22"/>
                <w:szCs w:val="22"/>
              </w:rPr>
              <w:t>577</w:t>
            </w:r>
          </w:p>
        </w:tc>
        <w:tc>
          <w:tcPr>
            <w:tcW w:w="4678" w:type="dxa"/>
          </w:tcPr>
          <w:p w14:paraId="253299CB" w14:textId="77777777" w:rsidR="008B1583" w:rsidRPr="008B1583" w:rsidRDefault="008B1583" w:rsidP="00D61248">
            <w:pPr>
              <w:rPr>
                <w:rFonts w:asciiTheme="minorHAnsi" w:hAnsiTheme="minorHAnsi"/>
                <w:sz w:val="22"/>
                <w:szCs w:val="22"/>
              </w:rPr>
            </w:pPr>
            <w:r w:rsidRPr="008B1583">
              <w:rPr>
                <w:rFonts w:asciiTheme="minorHAnsi" w:hAnsiTheme="minorHAnsi"/>
                <w:sz w:val="22"/>
                <w:szCs w:val="22"/>
              </w:rPr>
              <w:t>This reserve will be used if and when risks occur, and reassessed to reflect any new risks identified</w:t>
            </w:r>
          </w:p>
        </w:tc>
        <w:tc>
          <w:tcPr>
            <w:tcW w:w="1701" w:type="dxa"/>
          </w:tcPr>
          <w:p w14:paraId="2142C4EF" w14:textId="77777777" w:rsidR="008B1583" w:rsidRPr="008B1583" w:rsidRDefault="008B1583" w:rsidP="00D61248">
            <w:pPr>
              <w:rPr>
                <w:rFonts w:asciiTheme="minorHAnsi" w:hAnsiTheme="minorHAnsi"/>
                <w:sz w:val="22"/>
                <w:szCs w:val="22"/>
              </w:rPr>
            </w:pPr>
          </w:p>
        </w:tc>
      </w:tr>
      <w:tr w:rsidR="008B1583" w:rsidRPr="008B1583" w14:paraId="0AE88313" w14:textId="77777777" w:rsidTr="008B1583">
        <w:tc>
          <w:tcPr>
            <w:tcW w:w="1768" w:type="dxa"/>
          </w:tcPr>
          <w:p w14:paraId="551F603F" w14:textId="77777777" w:rsidR="008B1583" w:rsidRPr="008B1583" w:rsidRDefault="008B1583" w:rsidP="00D61248">
            <w:pPr>
              <w:rPr>
                <w:rFonts w:asciiTheme="minorHAnsi" w:hAnsiTheme="minorHAnsi"/>
                <w:b/>
                <w:sz w:val="22"/>
                <w:szCs w:val="22"/>
              </w:rPr>
            </w:pPr>
          </w:p>
          <w:p w14:paraId="2FBC25EF" w14:textId="77777777" w:rsidR="008B1583" w:rsidRPr="008B1583" w:rsidRDefault="008B1583" w:rsidP="00D61248">
            <w:pPr>
              <w:rPr>
                <w:rFonts w:asciiTheme="minorHAnsi" w:hAnsiTheme="minorHAnsi"/>
                <w:b/>
                <w:sz w:val="22"/>
                <w:szCs w:val="22"/>
              </w:rPr>
            </w:pPr>
            <w:r w:rsidRPr="008B1583">
              <w:rPr>
                <w:rFonts w:asciiTheme="minorHAnsi" w:hAnsiTheme="minorHAnsi"/>
                <w:b/>
                <w:sz w:val="22"/>
                <w:szCs w:val="22"/>
              </w:rPr>
              <w:t>Total</w:t>
            </w:r>
          </w:p>
        </w:tc>
        <w:tc>
          <w:tcPr>
            <w:tcW w:w="4606" w:type="dxa"/>
          </w:tcPr>
          <w:p w14:paraId="6007FB84" w14:textId="77777777" w:rsidR="008B1583" w:rsidRPr="008B1583" w:rsidRDefault="008B1583" w:rsidP="00D61248">
            <w:pPr>
              <w:rPr>
                <w:rFonts w:asciiTheme="minorHAnsi" w:hAnsiTheme="minorHAnsi"/>
                <w:sz w:val="22"/>
                <w:szCs w:val="22"/>
              </w:rPr>
            </w:pPr>
          </w:p>
        </w:tc>
        <w:tc>
          <w:tcPr>
            <w:tcW w:w="1559" w:type="dxa"/>
          </w:tcPr>
          <w:p w14:paraId="2D48F1E9" w14:textId="77777777" w:rsidR="008B1583" w:rsidRPr="008B1583" w:rsidRDefault="008B1583" w:rsidP="00D61248">
            <w:pPr>
              <w:rPr>
                <w:rFonts w:asciiTheme="minorHAnsi" w:hAnsiTheme="minorHAnsi"/>
                <w:sz w:val="22"/>
                <w:szCs w:val="22"/>
              </w:rPr>
            </w:pPr>
          </w:p>
          <w:p w14:paraId="62755441" w14:textId="77777777" w:rsidR="008B1583" w:rsidRPr="008B1583" w:rsidRDefault="008B1583" w:rsidP="00D61248">
            <w:pPr>
              <w:rPr>
                <w:rFonts w:asciiTheme="minorHAnsi" w:hAnsiTheme="minorHAnsi"/>
                <w:b/>
                <w:i/>
                <w:sz w:val="22"/>
                <w:szCs w:val="22"/>
              </w:rPr>
            </w:pPr>
            <w:r w:rsidRPr="008B1583">
              <w:rPr>
                <w:rFonts w:asciiTheme="minorHAnsi" w:hAnsiTheme="minorHAnsi"/>
                <w:b/>
                <w:sz w:val="22"/>
                <w:szCs w:val="22"/>
              </w:rPr>
              <w:t>11,438</w:t>
            </w:r>
          </w:p>
          <w:p w14:paraId="4A2E2EEF" w14:textId="77777777" w:rsidR="008B1583" w:rsidRPr="008B1583" w:rsidRDefault="008B1583" w:rsidP="006965C6">
            <w:pPr>
              <w:rPr>
                <w:rFonts w:asciiTheme="minorHAnsi" w:hAnsiTheme="minorHAnsi"/>
                <w:sz w:val="22"/>
                <w:szCs w:val="22"/>
              </w:rPr>
            </w:pPr>
            <w:r w:rsidRPr="008B1583">
              <w:rPr>
                <w:rFonts w:asciiTheme="minorHAnsi" w:hAnsiTheme="minorHAnsi"/>
                <w:sz w:val="22"/>
                <w:szCs w:val="22"/>
              </w:rPr>
              <w:t>(53%</w:t>
            </w:r>
            <w:r w:rsidRPr="008B1583">
              <w:rPr>
                <w:rFonts w:asciiTheme="minorHAnsi" w:hAnsiTheme="minorHAnsi"/>
                <w:i/>
                <w:sz w:val="22"/>
                <w:szCs w:val="22"/>
              </w:rPr>
              <w:t xml:space="preserve"> </w:t>
            </w:r>
            <w:r w:rsidRPr="008B1583">
              <w:rPr>
                <w:rFonts w:asciiTheme="minorHAnsi" w:hAnsiTheme="minorHAnsi"/>
                <w:sz w:val="22"/>
                <w:szCs w:val="22"/>
              </w:rPr>
              <w:t>of revenue budget)</w:t>
            </w:r>
          </w:p>
        </w:tc>
        <w:tc>
          <w:tcPr>
            <w:tcW w:w="4678" w:type="dxa"/>
          </w:tcPr>
          <w:p w14:paraId="68CB6130" w14:textId="77777777" w:rsidR="008B1583" w:rsidRPr="008B1583" w:rsidRDefault="008B1583" w:rsidP="00D61248">
            <w:pPr>
              <w:rPr>
                <w:rFonts w:asciiTheme="minorHAnsi" w:hAnsiTheme="minorHAnsi"/>
                <w:sz w:val="22"/>
                <w:szCs w:val="22"/>
              </w:rPr>
            </w:pPr>
          </w:p>
        </w:tc>
        <w:tc>
          <w:tcPr>
            <w:tcW w:w="1701" w:type="dxa"/>
          </w:tcPr>
          <w:p w14:paraId="5D5C4A86" w14:textId="77777777" w:rsidR="008B1583" w:rsidRPr="008B1583" w:rsidRDefault="008B1583" w:rsidP="00D61248">
            <w:pPr>
              <w:rPr>
                <w:rFonts w:asciiTheme="minorHAnsi" w:hAnsiTheme="minorHAnsi"/>
                <w:sz w:val="22"/>
                <w:szCs w:val="22"/>
              </w:rPr>
            </w:pPr>
          </w:p>
          <w:p w14:paraId="38A3D996" w14:textId="77777777" w:rsidR="008B1583" w:rsidRPr="008B1583" w:rsidRDefault="008B1583" w:rsidP="00D61248">
            <w:pPr>
              <w:rPr>
                <w:rFonts w:asciiTheme="minorHAnsi" w:hAnsiTheme="minorHAnsi"/>
                <w:b/>
                <w:i/>
                <w:sz w:val="22"/>
                <w:szCs w:val="22"/>
              </w:rPr>
            </w:pPr>
            <w:r w:rsidRPr="008B1583">
              <w:rPr>
                <w:rFonts w:asciiTheme="minorHAnsi" w:hAnsiTheme="minorHAnsi"/>
                <w:b/>
                <w:sz w:val="22"/>
                <w:szCs w:val="22"/>
              </w:rPr>
              <w:t>4,044</w:t>
            </w:r>
          </w:p>
          <w:p w14:paraId="00DF2058" w14:textId="77777777" w:rsidR="008B1583" w:rsidRPr="008B1583" w:rsidRDefault="008B1583" w:rsidP="006965C6">
            <w:pPr>
              <w:rPr>
                <w:rFonts w:asciiTheme="minorHAnsi" w:hAnsiTheme="minorHAnsi"/>
                <w:sz w:val="22"/>
                <w:szCs w:val="22"/>
              </w:rPr>
            </w:pPr>
            <w:r w:rsidRPr="008B1583">
              <w:rPr>
                <w:rFonts w:asciiTheme="minorHAnsi" w:hAnsiTheme="minorHAnsi"/>
                <w:sz w:val="22"/>
                <w:szCs w:val="22"/>
              </w:rPr>
              <w:t>(remaining reserves of £7,394k are 35%</w:t>
            </w:r>
            <w:r w:rsidRPr="008B1583">
              <w:rPr>
                <w:rFonts w:asciiTheme="minorHAnsi" w:hAnsiTheme="minorHAnsi"/>
                <w:i/>
                <w:sz w:val="22"/>
                <w:szCs w:val="22"/>
              </w:rPr>
              <w:t xml:space="preserve"> </w:t>
            </w:r>
            <w:r w:rsidRPr="008B1583">
              <w:rPr>
                <w:rFonts w:asciiTheme="minorHAnsi" w:hAnsiTheme="minorHAnsi"/>
                <w:sz w:val="22"/>
                <w:szCs w:val="22"/>
              </w:rPr>
              <w:t>of revenue budget)</w:t>
            </w:r>
          </w:p>
        </w:tc>
      </w:tr>
    </w:tbl>
    <w:p w14:paraId="14F91EBD" w14:textId="77777777" w:rsidR="008B1583" w:rsidRPr="008B1583" w:rsidRDefault="008B1583">
      <w:pPr>
        <w:rPr>
          <w:rFonts w:asciiTheme="minorHAnsi" w:hAnsiTheme="minorHAnsi"/>
          <w:sz w:val="22"/>
          <w:szCs w:val="22"/>
        </w:rPr>
      </w:pPr>
    </w:p>
    <w:p w14:paraId="52F021E7" w14:textId="77777777" w:rsidR="008B1583" w:rsidRPr="008B1583" w:rsidRDefault="008B1583" w:rsidP="00CE4379">
      <w:pPr>
        <w:jc w:val="center"/>
        <w:rPr>
          <w:rFonts w:asciiTheme="minorHAnsi" w:hAnsiTheme="minorHAnsi" w:cs="Arial"/>
          <w:sz w:val="22"/>
          <w:szCs w:val="22"/>
        </w:rPr>
      </w:pPr>
    </w:p>
    <w:sectPr w:rsidR="008B1583" w:rsidRPr="008B1583" w:rsidSect="008B1583">
      <w:footerReference w:type="default" r:id="rId17"/>
      <w:headerReference w:type="first" r:id="rId18"/>
      <w:footerReference w:type="first" r:id="rId19"/>
      <w:pgSz w:w="16840" w:h="11907" w:orient="landscape" w:code="9"/>
      <w:pgMar w:top="851" w:right="1304" w:bottom="851" w:left="130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A6D6F" w14:textId="77777777" w:rsidR="00A56B68" w:rsidRDefault="00A56B68">
      <w:r>
        <w:separator/>
      </w:r>
    </w:p>
  </w:endnote>
  <w:endnote w:type="continuationSeparator" w:id="0">
    <w:p w14:paraId="6C8A6D70" w14:textId="77777777" w:rsidR="00A56B68" w:rsidRDefault="00A5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8B1583" w:rsidRPr="00BB2135" w14:paraId="1F6E305F" w14:textId="77777777" w:rsidTr="00610D6A">
      <w:tc>
        <w:tcPr>
          <w:tcW w:w="3010" w:type="dxa"/>
          <w:vAlign w:val="bottom"/>
        </w:tcPr>
        <w:p w14:paraId="1C30E1B7" w14:textId="7AF4529B" w:rsidR="008B1583" w:rsidRDefault="008B1583" w:rsidP="008B1583">
          <w:pPr>
            <w:pStyle w:val="Footer"/>
          </w:pPr>
          <w:r>
            <w:rPr>
              <w:noProof/>
            </w:rPr>
            <w:drawing>
              <wp:inline distT="0" distB="0" distL="0" distR="0" wp14:anchorId="57BD81FE" wp14:editId="55A01FE4">
                <wp:extent cx="1419225" cy="428625"/>
                <wp:effectExtent l="0" t="0" r="9525" b="9525"/>
                <wp:docPr id="5" name="Picture 5"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1A4FE74D" w14:textId="77777777" w:rsidR="008B1583" w:rsidRPr="00BB2135" w:rsidRDefault="008B1583" w:rsidP="008B1583">
          <w:pPr>
            <w:pStyle w:val="Footer"/>
            <w:jc w:val="center"/>
            <w:rPr>
              <w:rFonts w:ascii="Arial" w:hAnsi="Arial" w:cs="Arial"/>
              <w:sz w:val="20"/>
              <w:szCs w:val="20"/>
            </w:rPr>
          </w:pPr>
          <w:r w:rsidRPr="00BB2135">
            <w:rPr>
              <w:rStyle w:val="PageNumber"/>
              <w:rFonts w:ascii="Arial" w:hAnsi="Arial" w:cs="Arial"/>
              <w:sz w:val="20"/>
              <w:szCs w:val="20"/>
            </w:rPr>
            <w:fldChar w:fldCharType="begin"/>
          </w:r>
          <w:r w:rsidRPr="00BB2135">
            <w:rPr>
              <w:rStyle w:val="PageNumber"/>
              <w:rFonts w:ascii="Arial" w:hAnsi="Arial" w:cs="Arial"/>
              <w:sz w:val="20"/>
              <w:szCs w:val="20"/>
            </w:rPr>
            <w:instrText xml:space="preserve"> PAGE </w:instrText>
          </w:r>
          <w:r w:rsidRPr="00BB2135">
            <w:rPr>
              <w:rStyle w:val="PageNumber"/>
              <w:rFonts w:ascii="Arial" w:hAnsi="Arial" w:cs="Arial"/>
              <w:sz w:val="20"/>
              <w:szCs w:val="20"/>
            </w:rPr>
            <w:fldChar w:fldCharType="separate"/>
          </w:r>
          <w:r w:rsidR="001B54CC">
            <w:rPr>
              <w:rStyle w:val="PageNumber"/>
              <w:rFonts w:ascii="Arial" w:hAnsi="Arial" w:cs="Arial"/>
              <w:noProof/>
              <w:sz w:val="20"/>
              <w:szCs w:val="20"/>
            </w:rPr>
            <w:t>3</w:t>
          </w:r>
          <w:r w:rsidRPr="00BB2135">
            <w:rPr>
              <w:rStyle w:val="PageNumber"/>
              <w:rFonts w:ascii="Arial" w:hAnsi="Arial" w:cs="Arial"/>
              <w:sz w:val="20"/>
              <w:szCs w:val="20"/>
            </w:rPr>
            <w:fldChar w:fldCharType="end"/>
          </w:r>
        </w:p>
      </w:tc>
      <w:tc>
        <w:tcPr>
          <w:tcW w:w="2800" w:type="dxa"/>
          <w:vAlign w:val="bottom"/>
        </w:tcPr>
        <w:p w14:paraId="0A69FF27" w14:textId="5C806386" w:rsidR="008B1583" w:rsidRPr="00BB2135" w:rsidRDefault="008B1583" w:rsidP="001B54CC">
          <w:pPr>
            <w:pStyle w:val="Footer"/>
            <w:jc w:val="right"/>
            <w:rPr>
              <w:rFonts w:ascii="Arial" w:hAnsi="Arial" w:cs="Arial"/>
              <w:sz w:val="20"/>
              <w:szCs w:val="20"/>
            </w:rPr>
          </w:pPr>
          <w:r w:rsidRPr="00BB2135">
            <w:rPr>
              <w:rFonts w:ascii="Arial" w:hAnsi="Arial" w:cs="Arial"/>
              <w:sz w:val="20"/>
              <w:szCs w:val="20"/>
            </w:rPr>
            <w:t xml:space="preserve">S&amp;R </w:t>
          </w:r>
          <w:r>
            <w:rPr>
              <w:rFonts w:ascii="Arial" w:hAnsi="Arial" w:cs="Arial"/>
              <w:sz w:val="20"/>
              <w:szCs w:val="20"/>
            </w:rPr>
            <w:t>05.02.15</w:t>
          </w:r>
        </w:p>
      </w:tc>
    </w:tr>
  </w:tbl>
  <w:p w14:paraId="6C8A6D76" w14:textId="77777777" w:rsidR="00CE4379" w:rsidRDefault="00CE4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8B1583" w:rsidRPr="00BB2135" w14:paraId="0B9C9C36" w14:textId="77777777" w:rsidTr="00610D6A">
      <w:tc>
        <w:tcPr>
          <w:tcW w:w="3010" w:type="dxa"/>
          <w:vAlign w:val="bottom"/>
        </w:tcPr>
        <w:p w14:paraId="7BFCE532" w14:textId="41864979" w:rsidR="008B1583" w:rsidRDefault="008B1583" w:rsidP="008B1583">
          <w:pPr>
            <w:pStyle w:val="Footer"/>
          </w:pPr>
          <w:r>
            <w:rPr>
              <w:noProof/>
            </w:rPr>
            <w:drawing>
              <wp:inline distT="0" distB="0" distL="0" distR="0" wp14:anchorId="7573F14C" wp14:editId="767354BA">
                <wp:extent cx="1419225" cy="428625"/>
                <wp:effectExtent l="0" t="0" r="9525" b="9525"/>
                <wp:docPr id="2" name="Picture 2"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2FF1A148" w14:textId="77777777" w:rsidR="008B1583" w:rsidRPr="00BB2135" w:rsidRDefault="008B1583" w:rsidP="008B1583">
          <w:pPr>
            <w:pStyle w:val="Footer"/>
            <w:jc w:val="center"/>
            <w:rPr>
              <w:rFonts w:ascii="Arial" w:hAnsi="Arial" w:cs="Arial"/>
              <w:sz w:val="20"/>
              <w:szCs w:val="20"/>
            </w:rPr>
          </w:pPr>
          <w:r w:rsidRPr="00BB2135">
            <w:rPr>
              <w:rStyle w:val="PageNumber"/>
              <w:rFonts w:ascii="Arial" w:hAnsi="Arial" w:cs="Arial"/>
              <w:sz w:val="20"/>
              <w:szCs w:val="20"/>
            </w:rPr>
            <w:fldChar w:fldCharType="begin"/>
          </w:r>
          <w:r w:rsidRPr="00BB2135">
            <w:rPr>
              <w:rStyle w:val="PageNumber"/>
              <w:rFonts w:ascii="Arial" w:hAnsi="Arial" w:cs="Arial"/>
              <w:sz w:val="20"/>
              <w:szCs w:val="20"/>
            </w:rPr>
            <w:instrText xml:space="preserve"> PAGE </w:instrText>
          </w:r>
          <w:r w:rsidRPr="00BB2135">
            <w:rPr>
              <w:rStyle w:val="PageNumber"/>
              <w:rFonts w:ascii="Arial" w:hAnsi="Arial" w:cs="Arial"/>
              <w:sz w:val="20"/>
              <w:szCs w:val="20"/>
            </w:rPr>
            <w:fldChar w:fldCharType="separate"/>
          </w:r>
          <w:r w:rsidR="001B54CC">
            <w:rPr>
              <w:rStyle w:val="PageNumber"/>
              <w:rFonts w:ascii="Arial" w:hAnsi="Arial" w:cs="Arial"/>
              <w:noProof/>
              <w:sz w:val="20"/>
              <w:szCs w:val="20"/>
            </w:rPr>
            <w:t>1</w:t>
          </w:r>
          <w:r w:rsidRPr="00BB2135">
            <w:rPr>
              <w:rStyle w:val="PageNumber"/>
              <w:rFonts w:ascii="Arial" w:hAnsi="Arial" w:cs="Arial"/>
              <w:sz w:val="20"/>
              <w:szCs w:val="20"/>
            </w:rPr>
            <w:fldChar w:fldCharType="end"/>
          </w:r>
        </w:p>
      </w:tc>
      <w:tc>
        <w:tcPr>
          <w:tcW w:w="2800" w:type="dxa"/>
          <w:vAlign w:val="bottom"/>
        </w:tcPr>
        <w:p w14:paraId="1A7EC01B" w14:textId="57BEF2B8" w:rsidR="008B1583" w:rsidRPr="00BB2135" w:rsidRDefault="008B1583" w:rsidP="001B54CC">
          <w:pPr>
            <w:pStyle w:val="Footer"/>
            <w:jc w:val="right"/>
            <w:rPr>
              <w:rFonts w:ascii="Arial" w:hAnsi="Arial" w:cs="Arial"/>
              <w:sz w:val="20"/>
              <w:szCs w:val="20"/>
            </w:rPr>
          </w:pPr>
          <w:r w:rsidRPr="00BB2135">
            <w:rPr>
              <w:rFonts w:ascii="Arial" w:hAnsi="Arial" w:cs="Arial"/>
              <w:sz w:val="20"/>
              <w:szCs w:val="20"/>
            </w:rPr>
            <w:t xml:space="preserve">S&amp;R </w:t>
          </w:r>
          <w:r>
            <w:rPr>
              <w:rFonts w:ascii="Arial" w:hAnsi="Arial" w:cs="Arial"/>
              <w:sz w:val="20"/>
              <w:szCs w:val="20"/>
            </w:rPr>
            <w:t>05.02.15</w:t>
          </w:r>
        </w:p>
      </w:tc>
    </w:tr>
  </w:tbl>
  <w:p w14:paraId="6C8A6D7C" w14:textId="77777777" w:rsidR="00CE4379" w:rsidRPr="008B1583" w:rsidRDefault="00CE4379" w:rsidP="008B1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209" w:type="dxa"/>
      <w:tblInd w:w="108" w:type="dxa"/>
      <w:tblLook w:val="01E0" w:firstRow="1" w:lastRow="1" w:firstColumn="1" w:lastColumn="1" w:noHBand="0" w:noVBand="0"/>
    </w:tblPr>
    <w:tblGrid>
      <w:gridCol w:w="4736"/>
      <w:gridCol w:w="4736"/>
      <w:gridCol w:w="4737"/>
    </w:tblGrid>
    <w:tr w:rsidR="008B1583" w:rsidRPr="00BB2135" w14:paraId="09FE14F4" w14:textId="77777777" w:rsidTr="001B54CC">
      <w:tc>
        <w:tcPr>
          <w:tcW w:w="4736" w:type="dxa"/>
          <w:vAlign w:val="bottom"/>
        </w:tcPr>
        <w:p w14:paraId="71611EFC" w14:textId="77777777" w:rsidR="008B1583" w:rsidRDefault="008B1583" w:rsidP="008B1583">
          <w:pPr>
            <w:pStyle w:val="Footer"/>
          </w:pPr>
          <w:r>
            <w:rPr>
              <w:noProof/>
            </w:rPr>
            <w:drawing>
              <wp:inline distT="0" distB="0" distL="0" distR="0" wp14:anchorId="2678CB40" wp14:editId="031A2D3F">
                <wp:extent cx="1419225" cy="428625"/>
                <wp:effectExtent l="0" t="0" r="9525" b="9525"/>
                <wp:docPr id="6" name="Picture 6"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4736" w:type="dxa"/>
          <w:vAlign w:val="bottom"/>
        </w:tcPr>
        <w:p w14:paraId="35EE91A0" w14:textId="77777777" w:rsidR="008B1583" w:rsidRPr="00BB2135" w:rsidRDefault="008B1583" w:rsidP="008B1583">
          <w:pPr>
            <w:pStyle w:val="Footer"/>
            <w:jc w:val="center"/>
            <w:rPr>
              <w:rFonts w:ascii="Arial" w:hAnsi="Arial" w:cs="Arial"/>
              <w:sz w:val="20"/>
              <w:szCs w:val="20"/>
            </w:rPr>
          </w:pPr>
          <w:r w:rsidRPr="00BB2135">
            <w:rPr>
              <w:rStyle w:val="PageNumber"/>
              <w:rFonts w:ascii="Arial" w:hAnsi="Arial" w:cs="Arial"/>
              <w:sz w:val="20"/>
              <w:szCs w:val="20"/>
            </w:rPr>
            <w:fldChar w:fldCharType="begin"/>
          </w:r>
          <w:r w:rsidRPr="00BB2135">
            <w:rPr>
              <w:rStyle w:val="PageNumber"/>
              <w:rFonts w:ascii="Arial" w:hAnsi="Arial" w:cs="Arial"/>
              <w:sz w:val="20"/>
              <w:szCs w:val="20"/>
            </w:rPr>
            <w:instrText xml:space="preserve"> PAGE </w:instrText>
          </w:r>
          <w:r w:rsidRPr="00BB2135">
            <w:rPr>
              <w:rStyle w:val="PageNumber"/>
              <w:rFonts w:ascii="Arial" w:hAnsi="Arial" w:cs="Arial"/>
              <w:sz w:val="20"/>
              <w:szCs w:val="20"/>
            </w:rPr>
            <w:fldChar w:fldCharType="separate"/>
          </w:r>
          <w:r w:rsidR="001B54CC">
            <w:rPr>
              <w:rStyle w:val="PageNumber"/>
              <w:rFonts w:ascii="Arial" w:hAnsi="Arial" w:cs="Arial"/>
              <w:noProof/>
              <w:sz w:val="20"/>
              <w:szCs w:val="20"/>
            </w:rPr>
            <w:t>7</w:t>
          </w:r>
          <w:r w:rsidRPr="00BB2135">
            <w:rPr>
              <w:rStyle w:val="PageNumber"/>
              <w:rFonts w:ascii="Arial" w:hAnsi="Arial" w:cs="Arial"/>
              <w:sz w:val="20"/>
              <w:szCs w:val="20"/>
            </w:rPr>
            <w:fldChar w:fldCharType="end"/>
          </w:r>
        </w:p>
      </w:tc>
      <w:tc>
        <w:tcPr>
          <w:tcW w:w="4737" w:type="dxa"/>
          <w:vAlign w:val="bottom"/>
        </w:tcPr>
        <w:p w14:paraId="133C43B4" w14:textId="692400FB" w:rsidR="008B1583" w:rsidRPr="00BB2135" w:rsidRDefault="008B1583" w:rsidP="001B54CC">
          <w:pPr>
            <w:pStyle w:val="Footer"/>
            <w:jc w:val="right"/>
            <w:rPr>
              <w:rFonts w:ascii="Arial" w:hAnsi="Arial" w:cs="Arial"/>
              <w:sz w:val="20"/>
              <w:szCs w:val="20"/>
            </w:rPr>
          </w:pPr>
          <w:r w:rsidRPr="00BB2135">
            <w:rPr>
              <w:rFonts w:ascii="Arial" w:hAnsi="Arial" w:cs="Arial"/>
              <w:sz w:val="20"/>
              <w:szCs w:val="20"/>
            </w:rPr>
            <w:t xml:space="preserve">S&amp;R </w:t>
          </w:r>
          <w:r>
            <w:rPr>
              <w:rFonts w:ascii="Arial" w:hAnsi="Arial" w:cs="Arial"/>
              <w:sz w:val="20"/>
              <w:szCs w:val="20"/>
            </w:rPr>
            <w:t>05.02.15</w:t>
          </w:r>
        </w:p>
      </w:tc>
    </w:tr>
  </w:tbl>
  <w:p w14:paraId="73768FD5" w14:textId="77777777" w:rsidR="008B1583" w:rsidRDefault="008B15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317" w:type="dxa"/>
      <w:tblLook w:val="01E0" w:firstRow="1" w:lastRow="1" w:firstColumn="1" w:lastColumn="1" w:noHBand="0" w:noVBand="0"/>
    </w:tblPr>
    <w:tblGrid>
      <w:gridCol w:w="4772"/>
      <w:gridCol w:w="4772"/>
      <w:gridCol w:w="4773"/>
    </w:tblGrid>
    <w:tr w:rsidR="008B1583" w:rsidRPr="00271BCC" w14:paraId="2514DBA4" w14:textId="77777777" w:rsidTr="008B1583">
      <w:tc>
        <w:tcPr>
          <w:tcW w:w="4772" w:type="dxa"/>
          <w:vAlign w:val="bottom"/>
        </w:tcPr>
        <w:p w14:paraId="5E9CC73C" w14:textId="77777777" w:rsidR="008B1583" w:rsidRDefault="008B1583" w:rsidP="00CE4379">
          <w:pPr>
            <w:pStyle w:val="Footer"/>
            <w:rPr>
              <w:lang w:eastAsia="en-US"/>
            </w:rPr>
          </w:pPr>
          <w:r>
            <w:rPr>
              <w:noProof/>
            </w:rPr>
            <w:drawing>
              <wp:inline distT="0" distB="0" distL="0" distR="0" wp14:anchorId="6DC188BD" wp14:editId="34A7B3BF">
                <wp:extent cx="1419225" cy="428625"/>
                <wp:effectExtent l="0" t="0" r="9525" b="9525"/>
                <wp:docPr id="1" name="Picture 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4772" w:type="dxa"/>
          <w:vAlign w:val="bottom"/>
        </w:tcPr>
        <w:p w14:paraId="3F942C60" w14:textId="77777777" w:rsidR="008B1583" w:rsidRPr="00271BCC" w:rsidRDefault="008B1583" w:rsidP="00CE4379">
          <w:pPr>
            <w:pStyle w:val="Footer"/>
            <w:jc w:val="center"/>
            <w:rPr>
              <w:rFonts w:ascii="Arial" w:hAnsi="Arial" w:cs="Arial"/>
              <w:sz w:val="20"/>
              <w:lang w:eastAsia="en-US"/>
            </w:rPr>
          </w:pPr>
          <w:r w:rsidRPr="00271BCC">
            <w:rPr>
              <w:rStyle w:val="PageNumber"/>
              <w:rFonts w:ascii="Arial" w:hAnsi="Arial" w:cs="Arial"/>
              <w:sz w:val="20"/>
              <w:lang w:eastAsia="en-US"/>
            </w:rPr>
            <w:fldChar w:fldCharType="begin"/>
          </w:r>
          <w:r w:rsidRPr="00271BCC">
            <w:rPr>
              <w:rStyle w:val="PageNumber"/>
              <w:rFonts w:ascii="Arial" w:hAnsi="Arial" w:cs="Arial"/>
              <w:sz w:val="20"/>
              <w:lang w:eastAsia="en-US"/>
            </w:rPr>
            <w:instrText xml:space="preserve"> PAGE </w:instrText>
          </w:r>
          <w:r w:rsidRPr="00271BCC">
            <w:rPr>
              <w:rStyle w:val="PageNumber"/>
              <w:rFonts w:ascii="Arial" w:hAnsi="Arial" w:cs="Arial"/>
              <w:sz w:val="20"/>
              <w:lang w:eastAsia="en-US"/>
            </w:rPr>
            <w:fldChar w:fldCharType="separate"/>
          </w:r>
          <w:r w:rsidR="001B54CC">
            <w:rPr>
              <w:rStyle w:val="PageNumber"/>
              <w:rFonts w:ascii="Arial" w:hAnsi="Arial" w:cs="Arial"/>
              <w:noProof/>
              <w:sz w:val="20"/>
              <w:lang w:eastAsia="en-US"/>
            </w:rPr>
            <w:t>5</w:t>
          </w:r>
          <w:r w:rsidRPr="00271BCC">
            <w:rPr>
              <w:rStyle w:val="PageNumber"/>
              <w:rFonts w:ascii="Arial" w:hAnsi="Arial" w:cs="Arial"/>
              <w:sz w:val="20"/>
              <w:lang w:eastAsia="en-US"/>
            </w:rPr>
            <w:fldChar w:fldCharType="end"/>
          </w:r>
        </w:p>
      </w:tc>
      <w:tc>
        <w:tcPr>
          <w:tcW w:w="4773" w:type="dxa"/>
          <w:vAlign w:val="bottom"/>
        </w:tcPr>
        <w:p w14:paraId="32774813" w14:textId="77777777" w:rsidR="008B1583" w:rsidRPr="00271BCC" w:rsidRDefault="008B1583" w:rsidP="008A58DC">
          <w:pPr>
            <w:pStyle w:val="Footer"/>
            <w:jc w:val="right"/>
            <w:rPr>
              <w:rFonts w:ascii="Arial" w:hAnsi="Arial" w:cs="Arial"/>
              <w:sz w:val="20"/>
              <w:lang w:eastAsia="en-US"/>
            </w:rPr>
          </w:pPr>
          <w:r w:rsidRPr="00271BCC">
            <w:rPr>
              <w:rFonts w:ascii="Arial" w:hAnsi="Arial" w:cs="Arial"/>
              <w:sz w:val="20"/>
              <w:lang w:eastAsia="en-US"/>
            </w:rPr>
            <w:t>S&amp;R</w:t>
          </w:r>
          <w:r>
            <w:rPr>
              <w:rFonts w:ascii="Arial" w:hAnsi="Arial" w:cs="Arial"/>
              <w:sz w:val="20"/>
              <w:lang w:eastAsia="en-US"/>
            </w:rPr>
            <w:t xml:space="preserve"> 05.02.15</w:t>
          </w:r>
        </w:p>
      </w:tc>
    </w:tr>
  </w:tbl>
  <w:p w14:paraId="2C3AFB25" w14:textId="77777777" w:rsidR="008B1583" w:rsidRDefault="008B1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A6D6D" w14:textId="77777777" w:rsidR="00A56B68" w:rsidRDefault="00A56B68">
      <w:r>
        <w:separator/>
      </w:r>
    </w:p>
  </w:footnote>
  <w:footnote w:type="continuationSeparator" w:id="0">
    <w:p w14:paraId="6C8A6D6E" w14:textId="77777777" w:rsidR="00A56B68" w:rsidRDefault="00A5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6D71" w14:textId="77777777" w:rsidR="00F85179" w:rsidRDefault="001B54CC" w:rsidP="00F851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6D77" w14:textId="66EFC945" w:rsidR="000D4EEB" w:rsidRPr="00CE4379" w:rsidRDefault="008A58DC" w:rsidP="00CE4379">
    <w:pPr>
      <w:pStyle w:val="Header"/>
      <w:jc w:val="right"/>
      <w:rPr>
        <w:rFonts w:ascii="Arial" w:hAnsi="Arial" w:cs="Arial"/>
        <w:b/>
        <w:sz w:val="144"/>
        <w:szCs w:val="144"/>
      </w:rPr>
    </w:pPr>
    <w:r>
      <w:rPr>
        <w:rFonts w:ascii="Arial" w:hAnsi="Arial" w:cs="Arial"/>
        <w:b/>
        <w:sz w:val="144"/>
        <w:szCs w:val="144"/>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F9D40" w14:textId="77777777" w:rsidR="008B1583" w:rsidRPr="008B1583" w:rsidRDefault="008B1583" w:rsidP="008B1583">
    <w:pPr>
      <w:pStyle w:val="Header"/>
      <w:jc w:val="right"/>
      <w:rPr>
        <w:rFonts w:ascii="Arial" w:hAnsi="Arial" w:cs="Arial"/>
        <w:sz w:val="22"/>
        <w:szCs w:val="22"/>
      </w:rPr>
    </w:pPr>
    <w:r w:rsidRPr="008B1583">
      <w:rPr>
        <w:rFonts w:ascii="Arial" w:hAnsi="Arial" w:cs="Arial"/>
        <w:b/>
        <w:sz w:val="22"/>
        <w:szCs w:val="22"/>
      </w:rPr>
      <w:t>Appendix</w:t>
    </w:r>
    <w:r w:rsidRPr="008B1583">
      <w:rPr>
        <w:rFonts w:ascii="Arial" w:hAnsi="Arial" w:cs="Arial"/>
        <w:sz w:val="22"/>
        <w:szCs w:val="22"/>
      </w:rPr>
      <w:t xml:space="preserve"> to report on</w:t>
    </w:r>
  </w:p>
  <w:p w14:paraId="16909092" w14:textId="77777777" w:rsidR="008B1583" w:rsidRPr="008B1583" w:rsidRDefault="008B1583" w:rsidP="008B1583">
    <w:pPr>
      <w:pStyle w:val="Header"/>
      <w:jc w:val="right"/>
      <w:rPr>
        <w:rFonts w:ascii="Arial" w:hAnsi="Arial" w:cs="Arial"/>
        <w:sz w:val="22"/>
        <w:szCs w:val="22"/>
      </w:rPr>
    </w:pPr>
    <w:r w:rsidRPr="008B1583">
      <w:rPr>
        <w:rFonts w:ascii="Arial" w:hAnsi="Arial" w:cs="Arial"/>
        <w:sz w:val="22"/>
        <w:szCs w:val="22"/>
      </w:rPr>
      <w:t>Adequacy of Provisions and Reserves and Robustness of Budget</w:t>
    </w:r>
  </w:p>
  <w:p w14:paraId="4306EF4E" w14:textId="77777777" w:rsidR="008B1583" w:rsidRPr="008B1583" w:rsidRDefault="008B1583" w:rsidP="008B1583">
    <w:pPr>
      <w:pStyle w:val="Header"/>
      <w:jc w:val="right"/>
      <w:rPr>
        <w:rFonts w:ascii="Arial" w:hAnsi="Arial" w:cs="Arial"/>
        <w:sz w:val="22"/>
        <w:szCs w:val="22"/>
      </w:rPr>
    </w:pPr>
    <w:r w:rsidRPr="008B1583">
      <w:rPr>
        <w:rFonts w:ascii="Arial" w:hAnsi="Arial" w:cs="Arial"/>
        <w:sz w:val="22"/>
        <w:szCs w:val="22"/>
      </w:rPr>
      <w:t>Shropshire and Wrekin Fire and Rescue Authority</w:t>
    </w:r>
  </w:p>
  <w:p w14:paraId="7C175B00" w14:textId="77777777" w:rsidR="008B1583" w:rsidRPr="008B1583" w:rsidRDefault="008B1583" w:rsidP="008B1583">
    <w:pPr>
      <w:pStyle w:val="Header"/>
      <w:jc w:val="right"/>
      <w:rPr>
        <w:rFonts w:ascii="Arial" w:hAnsi="Arial" w:cs="Arial"/>
        <w:sz w:val="22"/>
        <w:szCs w:val="22"/>
      </w:rPr>
    </w:pPr>
    <w:r w:rsidRPr="008B1583">
      <w:rPr>
        <w:rFonts w:ascii="Arial" w:hAnsi="Arial" w:cs="Arial"/>
        <w:sz w:val="22"/>
        <w:szCs w:val="22"/>
      </w:rPr>
      <w:t>Strategy and Resources Committee</w:t>
    </w:r>
  </w:p>
  <w:p w14:paraId="270AFCC6" w14:textId="77777777" w:rsidR="008B1583" w:rsidRPr="008B1583" w:rsidRDefault="008B1583" w:rsidP="008B1583">
    <w:pPr>
      <w:pStyle w:val="Header"/>
      <w:jc w:val="right"/>
      <w:rPr>
        <w:rFonts w:ascii="Arial" w:hAnsi="Arial" w:cs="Arial"/>
        <w:sz w:val="22"/>
        <w:szCs w:val="22"/>
      </w:rPr>
    </w:pPr>
    <w:r w:rsidRPr="008B1583">
      <w:rPr>
        <w:rFonts w:ascii="Arial" w:hAnsi="Arial" w:cs="Arial"/>
        <w:sz w:val="22"/>
        <w:szCs w:val="22"/>
      </w:rPr>
      <w:t>5 February 2015</w:t>
    </w:r>
  </w:p>
  <w:p w14:paraId="26D610E1" w14:textId="78B6FF94" w:rsidR="008B1583" w:rsidRPr="008B1583" w:rsidRDefault="008B1583" w:rsidP="008B1583">
    <w:pPr>
      <w:pStyle w:val="Header"/>
      <w:rPr>
        <w:rFonts w:asciiTheme="minorHAnsi" w:hAnsiTheme="minorHAnsi" w:cs="Arial"/>
      </w:rPr>
    </w:pPr>
    <w:r w:rsidRPr="008B1583">
      <w:rPr>
        <w:rFonts w:asciiTheme="minorHAnsi" w:hAnsiTheme="minorHAnsi"/>
        <w:b/>
        <w:sz w:val="28"/>
        <w:szCs w:val="28"/>
      </w:rPr>
      <w:t>Analysis of Reserves and Provisions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2932C2"/>
    <w:multiLevelType w:val="hybridMultilevel"/>
    <w:tmpl w:val="DD0A6B5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974806"/>
    <w:multiLevelType w:val="hybridMultilevel"/>
    <w:tmpl w:val="B5FAAF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5">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C2A0CF3"/>
    <w:multiLevelType w:val="hybridMultilevel"/>
    <w:tmpl w:val="A3EAF5D8"/>
    <w:lvl w:ilvl="0" w:tplc="213EACEC">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C67244"/>
    <w:multiLevelType w:val="hybridMultilevel"/>
    <w:tmpl w:val="C97058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6241BD0"/>
    <w:multiLevelType w:val="hybridMultilevel"/>
    <w:tmpl w:val="54B646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750074C"/>
    <w:multiLevelType w:val="hybridMultilevel"/>
    <w:tmpl w:val="B6102486"/>
    <w:lvl w:ilvl="0" w:tplc="D70EABEC">
      <w:start w:val="1"/>
      <w:numFmt w:val="lowerLetter"/>
      <w:lvlText w:val="%1)"/>
      <w:lvlJc w:val="left"/>
      <w:pPr>
        <w:tabs>
          <w:tab w:val="num" w:pos="720"/>
        </w:tabs>
        <w:ind w:left="720" w:firstLine="0"/>
      </w:pPr>
      <w:rPr>
        <w:rFonts w:hint="default"/>
        <w:i w:val="0"/>
      </w:rPr>
    </w:lvl>
    <w:lvl w:ilvl="1" w:tplc="8E3C028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7"/>
  </w:num>
  <w:num w:numId="3">
    <w:abstractNumId w:val="13"/>
  </w:num>
  <w:num w:numId="4">
    <w:abstractNumId w:val="23"/>
  </w:num>
  <w:num w:numId="5">
    <w:abstractNumId w:val="18"/>
  </w:num>
  <w:num w:numId="6">
    <w:abstractNumId w:val="14"/>
  </w:num>
  <w:num w:numId="7">
    <w:abstractNumId w:val="8"/>
  </w:num>
  <w:num w:numId="8">
    <w:abstractNumId w:val="21"/>
  </w:num>
  <w:num w:numId="9">
    <w:abstractNumId w:val="19"/>
  </w:num>
  <w:num w:numId="10">
    <w:abstractNumId w:val="24"/>
  </w:num>
  <w:num w:numId="11">
    <w:abstractNumId w:val="16"/>
  </w:num>
  <w:num w:numId="12">
    <w:abstractNumId w:val="7"/>
  </w:num>
  <w:num w:numId="13">
    <w:abstractNumId w:val="6"/>
  </w:num>
  <w:num w:numId="14">
    <w:abstractNumId w:val="2"/>
  </w:num>
  <w:num w:numId="15">
    <w:abstractNumId w:val="20"/>
  </w:num>
  <w:num w:numId="16">
    <w:abstractNumId w:val="5"/>
  </w:num>
  <w:num w:numId="17">
    <w:abstractNumId w:val="0"/>
  </w:num>
  <w:num w:numId="18">
    <w:abstractNumId w:val="12"/>
  </w:num>
  <w:num w:numId="19">
    <w:abstractNumId w:val="10"/>
  </w:num>
  <w:num w:numId="20">
    <w:abstractNumId w:val="22"/>
  </w:num>
  <w:num w:numId="21">
    <w:abstractNumId w:val="1"/>
  </w:num>
  <w:num w:numId="22">
    <w:abstractNumId w:val="3"/>
  </w:num>
  <w:num w:numId="23">
    <w:abstractNumId w:val="15"/>
  </w:num>
  <w:num w:numId="24">
    <w:abstractNumId w:val="11"/>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AF"/>
    <w:rsid w:val="00006E0E"/>
    <w:rsid w:val="00027B51"/>
    <w:rsid w:val="00055E65"/>
    <w:rsid w:val="00056BC8"/>
    <w:rsid w:val="000629F5"/>
    <w:rsid w:val="00067D30"/>
    <w:rsid w:val="00071AF4"/>
    <w:rsid w:val="00071C80"/>
    <w:rsid w:val="0007411D"/>
    <w:rsid w:val="000975D5"/>
    <w:rsid w:val="000A544D"/>
    <w:rsid w:val="000B57C9"/>
    <w:rsid w:val="000B5822"/>
    <w:rsid w:val="000C77B2"/>
    <w:rsid w:val="000D1AF2"/>
    <w:rsid w:val="000D4EEB"/>
    <w:rsid w:val="000D7A31"/>
    <w:rsid w:val="00104D4A"/>
    <w:rsid w:val="00111D47"/>
    <w:rsid w:val="00117B5F"/>
    <w:rsid w:val="00123DAC"/>
    <w:rsid w:val="00153375"/>
    <w:rsid w:val="00155B17"/>
    <w:rsid w:val="00174455"/>
    <w:rsid w:val="00181FED"/>
    <w:rsid w:val="00195B8D"/>
    <w:rsid w:val="001A493F"/>
    <w:rsid w:val="001B1B5B"/>
    <w:rsid w:val="001B54CC"/>
    <w:rsid w:val="001C298B"/>
    <w:rsid w:val="001D30A0"/>
    <w:rsid w:val="001E0E93"/>
    <w:rsid w:val="001E1932"/>
    <w:rsid w:val="00202FD0"/>
    <w:rsid w:val="00206612"/>
    <w:rsid w:val="00210492"/>
    <w:rsid w:val="00214EAE"/>
    <w:rsid w:val="00217242"/>
    <w:rsid w:val="002231CA"/>
    <w:rsid w:val="00231193"/>
    <w:rsid w:val="00233AA4"/>
    <w:rsid w:val="00237155"/>
    <w:rsid w:val="00244625"/>
    <w:rsid w:val="00244A77"/>
    <w:rsid w:val="0026234D"/>
    <w:rsid w:val="00265F4A"/>
    <w:rsid w:val="00270781"/>
    <w:rsid w:val="00286199"/>
    <w:rsid w:val="002A3B29"/>
    <w:rsid w:val="002B04D8"/>
    <w:rsid w:val="002C7BA4"/>
    <w:rsid w:val="002E2729"/>
    <w:rsid w:val="002E3507"/>
    <w:rsid w:val="002E7828"/>
    <w:rsid w:val="002F07EF"/>
    <w:rsid w:val="002F235D"/>
    <w:rsid w:val="002F3B57"/>
    <w:rsid w:val="00325036"/>
    <w:rsid w:val="00325B82"/>
    <w:rsid w:val="00333710"/>
    <w:rsid w:val="00334B43"/>
    <w:rsid w:val="00336FE6"/>
    <w:rsid w:val="00340BDC"/>
    <w:rsid w:val="00343056"/>
    <w:rsid w:val="003459D8"/>
    <w:rsid w:val="0034645A"/>
    <w:rsid w:val="003468A7"/>
    <w:rsid w:val="00375959"/>
    <w:rsid w:val="0038124F"/>
    <w:rsid w:val="0038592B"/>
    <w:rsid w:val="00395F2B"/>
    <w:rsid w:val="003A5CAA"/>
    <w:rsid w:val="003B6F0B"/>
    <w:rsid w:val="003D0A3C"/>
    <w:rsid w:val="003E5A12"/>
    <w:rsid w:val="003E66BB"/>
    <w:rsid w:val="003F2B9C"/>
    <w:rsid w:val="00414D7E"/>
    <w:rsid w:val="00416CA8"/>
    <w:rsid w:val="0042227F"/>
    <w:rsid w:val="00440EF8"/>
    <w:rsid w:val="00441851"/>
    <w:rsid w:val="00441922"/>
    <w:rsid w:val="00441A0D"/>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E0C2B"/>
    <w:rsid w:val="004F5D43"/>
    <w:rsid w:val="00501ECF"/>
    <w:rsid w:val="005023AC"/>
    <w:rsid w:val="005027D2"/>
    <w:rsid w:val="00512A2A"/>
    <w:rsid w:val="00525A6E"/>
    <w:rsid w:val="00531609"/>
    <w:rsid w:val="005367DA"/>
    <w:rsid w:val="00552E1C"/>
    <w:rsid w:val="005531BF"/>
    <w:rsid w:val="00553A7B"/>
    <w:rsid w:val="00561DBC"/>
    <w:rsid w:val="00570C91"/>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51999"/>
    <w:rsid w:val="00656BA2"/>
    <w:rsid w:val="00656C38"/>
    <w:rsid w:val="00660121"/>
    <w:rsid w:val="00662B17"/>
    <w:rsid w:val="0068347E"/>
    <w:rsid w:val="006841B7"/>
    <w:rsid w:val="006944BA"/>
    <w:rsid w:val="006A0A23"/>
    <w:rsid w:val="006B589E"/>
    <w:rsid w:val="006C09C1"/>
    <w:rsid w:val="006D27D3"/>
    <w:rsid w:val="006D45C8"/>
    <w:rsid w:val="006D4F01"/>
    <w:rsid w:val="006D63FD"/>
    <w:rsid w:val="006E4E73"/>
    <w:rsid w:val="006E73CA"/>
    <w:rsid w:val="0073120A"/>
    <w:rsid w:val="00742C28"/>
    <w:rsid w:val="00743690"/>
    <w:rsid w:val="0074468C"/>
    <w:rsid w:val="007541C6"/>
    <w:rsid w:val="00754384"/>
    <w:rsid w:val="00761210"/>
    <w:rsid w:val="00765C9F"/>
    <w:rsid w:val="00777504"/>
    <w:rsid w:val="007821C2"/>
    <w:rsid w:val="00793B93"/>
    <w:rsid w:val="007B08DA"/>
    <w:rsid w:val="007B10F9"/>
    <w:rsid w:val="007D7800"/>
    <w:rsid w:val="007F6706"/>
    <w:rsid w:val="007F7748"/>
    <w:rsid w:val="00804322"/>
    <w:rsid w:val="00823681"/>
    <w:rsid w:val="0082640F"/>
    <w:rsid w:val="00830F70"/>
    <w:rsid w:val="008360E8"/>
    <w:rsid w:val="00841033"/>
    <w:rsid w:val="00846559"/>
    <w:rsid w:val="00846D21"/>
    <w:rsid w:val="008507A9"/>
    <w:rsid w:val="00865BDD"/>
    <w:rsid w:val="00880C79"/>
    <w:rsid w:val="008A2311"/>
    <w:rsid w:val="008A58DC"/>
    <w:rsid w:val="008B11EF"/>
    <w:rsid w:val="008B1583"/>
    <w:rsid w:val="008C14A0"/>
    <w:rsid w:val="008C1C3A"/>
    <w:rsid w:val="008E79C2"/>
    <w:rsid w:val="008F561B"/>
    <w:rsid w:val="0090050F"/>
    <w:rsid w:val="009006D3"/>
    <w:rsid w:val="009235F9"/>
    <w:rsid w:val="00923FF4"/>
    <w:rsid w:val="00926B11"/>
    <w:rsid w:val="0092729E"/>
    <w:rsid w:val="00932914"/>
    <w:rsid w:val="00943752"/>
    <w:rsid w:val="00950F4C"/>
    <w:rsid w:val="00951ECA"/>
    <w:rsid w:val="00957AF1"/>
    <w:rsid w:val="00975DC4"/>
    <w:rsid w:val="009764BF"/>
    <w:rsid w:val="009812BD"/>
    <w:rsid w:val="0098276F"/>
    <w:rsid w:val="009908BA"/>
    <w:rsid w:val="009A0305"/>
    <w:rsid w:val="009A425F"/>
    <w:rsid w:val="009A6D03"/>
    <w:rsid w:val="009B4A7A"/>
    <w:rsid w:val="009C634A"/>
    <w:rsid w:val="009C6355"/>
    <w:rsid w:val="009C7FA8"/>
    <w:rsid w:val="009E1DD1"/>
    <w:rsid w:val="009F0AF2"/>
    <w:rsid w:val="00A009D5"/>
    <w:rsid w:val="00A04037"/>
    <w:rsid w:val="00A04DD2"/>
    <w:rsid w:val="00A0561C"/>
    <w:rsid w:val="00A059E8"/>
    <w:rsid w:val="00A06565"/>
    <w:rsid w:val="00A20DAB"/>
    <w:rsid w:val="00A217D9"/>
    <w:rsid w:val="00A414D8"/>
    <w:rsid w:val="00A5564D"/>
    <w:rsid w:val="00A56B68"/>
    <w:rsid w:val="00A61944"/>
    <w:rsid w:val="00A63658"/>
    <w:rsid w:val="00A64E0E"/>
    <w:rsid w:val="00A652CB"/>
    <w:rsid w:val="00A65C1B"/>
    <w:rsid w:val="00A66DB8"/>
    <w:rsid w:val="00A76EF1"/>
    <w:rsid w:val="00A97A31"/>
    <w:rsid w:val="00AA5F86"/>
    <w:rsid w:val="00AB0CCE"/>
    <w:rsid w:val="00AE63EF"/>
    <w:rsid w:val="00AF0316"/>
    <w:rsid w:val="00AF44A4"/>
    <w:rsid w:val="00AF71A3"/>
    <w:rsid w:val="00B054EF"/>
    <w:rsid w:val="00B12EBD"/>
    <w:rsid w:val="00B431F6"/>
    <w:rsid w:val="00B43E8C"/>
    <w:rsid w:val="00B45D89"/>
    <w:rsid w:val="00B51553"/>
    <w:rsid w:val="00B539CF"/>
    <w:rsid w:val="00B56E6C"/>
    <w:rsid w:val="00B608AF"/>
    <w:rsid w:val="00B60993"/>
    <w:rsid w:val="00B66150"/>
    <w:rsid w:val="00B75422"/>
    <w:rsid w:val="00B80F0B"/>
    <w:rsid w:val="00B817E7"/>
    <w:rsid w:val="00B86EDE"/>
    <w:rsid w:val="00B91F5F"/>
    <w:rsid w:val="00B97F8F"/>
    <w:rsid w:val="00BA12EF"/>
    <w:rsid w:val="00BA577D"/>
    <w:rsid w:val="00BB4253"/>
    <w:rsid w:val="00BC093C"/>
    <w:rsid w:val="00BD07F8"/>
    <w:rsid w:val="00BD6DDA"/>
    <w:rsid w:val="00BE4057"/>
    <w:rsid w:val="00BE5C14"/>
    <w:rsid w:val="00BF14B6"/>
    <w:rsid w:val="00BF59FB"/>
    <w:rsid w:val="00BF6300"/>
    <w:rsid w:val="00BF6FDE"/>
    <w:rsid w:val="00BF7F46"/>
    <w:rsid w:val="00C1034D"/>
    <w:rsid w:val="00C21828"/>
    <w:rsid w:val="00C274E6"/>
    <w:rsid w:val="00C310FC"/>
    <w:rsid w:val="00C32518"/>
    <w:rsid w:val="00C34397"/>
    <w:rsid w:val="00C36C04"/>
    <w:rsid w:val="00C53E0F"/>
    <w:rsid w:val="00C5656F"/>
    <w:rsid w:val="00C572AF"/>
    <w:rsid w:val="00C63635"/>
    <w:rsid w:val="00C76102"/>
    <w:rsid w:val="00C7712E"/>
    <w:rsid w:val="00C87EF8"/>
    <w:rsid w:val="00C90682"/>
    <w:rsid w:val="00CA588F"/>
    <w:rsid w:val="00CC0016"/>
    <w:rsid w:val="00CC1AF0"/>
    <w:rsid w:val="00CC21A3"/>
    <w:rsid w:val="00CC66FB"/>
    <w:rsid w:val="00CD6E25"/>
    <w:rsid w:val="00CD7850"/>
    <w:rsid w:val="00CE2329"/>
    <w:rsid w:val="00CE4379"/>
    <w:rsid w:val="00CF2200"/>
    <w:rsid w:val="00D06300"/>
    <w:rsid w:val="00D079C6"/>
    <w:rsid w:val="00D14B98"/>
    <w:rsid w:val="00D17D41"/>
    <w:rsid w:val="00D23581"/>
    <w:rsid w:val="00D23903"/>
    <w:rsid w:val="00D26FB7"/>
    <w:rsid w:val="00D46B88"/>
    <w:rsid w:val="00D47ECC"/>
    <w:rsid w:val="00D623CA"/>
    <w:rsid w:val="00D65102"/>
    <w:rsid w:val="00D67431"/>
    <w:rsid w:val="00D73D1C"/>
    <w:rsid w:val="00D77895"/>
    <w:rsid w:val="00D82C33"/>
    <w:rsid w:val="00D860E9"/>
    <w:rsid w:val="00D86E93"/>
    <w:rsid w:val="00D96096"/>
    <w:rsid w:val="00DB3CD4"/>
    <w:rsid w:val="00DB513F"/>
    <w:rsid w:val="00DC3AA4"/>
    <w:rsid w:val="00DC3C85"/>
    <w:rsid w:val="00DC3EB2"/>
    <w:rsid w:val="00DF02C2"/>
    <w:rsid w:val="00DF2ECB"/>
    <w:rsid w:val="00DF5AA9"/>
    <w:rsid w:val="00E0058E"/>
    <w:rsid w:val="00E00D78"/>
    <w:rsid w:val="00E0674E"/>
    <w:rsid w:val="00E12052"/>
    <w:rsid w:val="00E122B0"/>
    <w:rsid w:val="00E1629A"/>
    <w:rsid w:val="00E163C7"/>
    <w:rsid w:val="00E1768C"/>
    <w:rsid w:val="00E23504"/>
    <w:rsid w:val="00E255C9"/>
    <w:rsid w:val="00E27DF5"/>
    <w:rsid w:val="00E27F5A"/>
    <w:rsid w:val="00E32BB2"/>
    <w:rsid w:val="00E70DFB"/>
    <w:rsid w:val="00E720BB"/>
    <w:rsid w:val="00E80541"/>
    <w:rsid w:val="00E85D8B"/>
    <w:rsid w:val="00EA6439"/>
    <w:rsid w:val="00ED5F67"/>
    <w:rsid w:val="00EE5E9F"/>
    <w:rsid w:val="00EF21DB"/>
    <w:rsid w:val="00F00740"/>
    <w:rsid w:val="00F119E8"/>
    <w:rsid w:val="00F17498"/>
    <w:rsid w:val="00F305E7"/>
    <w:rsid w:val="00F33274"/>
    <w:rsid w:val="00F5099C"/>
    <w:rsid w:val="00F5373E"/>
    <w:rsid w:val="00F54254"/>
    <w:rsid w:val="00F5438F"/>
    <w:rsid w:val="00F6108B"/>
    <w:rsid w:val="00F65068"/>
    <w:rsid w:val="00F6564C"/>
    <w:rsid w:val="00F72E0D"/>
    <w:rsid w:val="00F902E6"/>
    <w:rsid w:val="00F93AC4"/>
    <w:rsid w:val="00FA79E5"/>
    <w:rsid w:val="00FB3107"/>
    <w:rsid w:val="00FB4B9A"/>
    <w:rsid w:val="00FB5173"/>
    <w:rsid w:val="00FC2C6E"/>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8A6CFE"/>
  <w15:docId w15:val="{C120C7E9-7F5C-4685-945A-2715CE58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paragraph" w:styleId="ListParagraph">
    <w:name w:val="List Paragraph"/>
    <w:basedOn w:val="Normal"/>
    <w:uiPriority w:val="34"/>
    <w:qFormat/>
    <w:rsid w:val="0092729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link w:val="Footer"/>
    <w:uiPriority w:val="99"/>
    <w:rsid w:val="00CE4379"/>
    <w:rPr>
      <w:sz w:val="24"/>
      <w:szCs w:val="24"/>
      <w:lang w:val="en-GB" w:eastAsia="en-GB"/>
    </w:rPr>
  </w:style>
  <w:style w:type="character" w:styleId="CommentReference">
    <w:name w:val="annotation reference"/>
    <w:basedOn w:val="DefaultParagraphFont"/>
    <w:semiHidden/>
    <w:unhideWhenUsed/>
    <w:rsid w:val="00FC2C6E"/>
    <w:rPr>
      <w:sz w:val="16"/>
      <w:szCs w:val="16"/>
    </w:rPr>
  </w:style>
  <w:style w:type="paragraph" w:styleId="CommentText">
    <w:name w:val="annotation text"/>
    <w:basedOn w:val="Normal"/>
    <w:link w:val="CommentTextChar"/>
    <w:semiHidden/>
    <w:unhideWhenUsed/>
    <w:rsid w:val="00FC2C6E"/>
    <w:rPr>
      <w:sz w:val="20"/>
      <w:szCs w:val="20"/>
    </w:rPr>
  </w:style>
  <w:style w:type="character" w:customStyle="1" w:styleId="CommentTextChar">
    <w:name w:val="Comment Text Char"/>
    <w:basedOn w:val="DefaultParagraphFont"/>
    <w:link w:val="CommentText"/>
    <w:semiHidden/>
    <w:rsid w:val="00FC2C6E"/>
    <w:rPr>
      <w:lang w:val="en-GB" w:eastAsia="en-GB"/>
    </w:rPr>
  </w:style>
  <w:style w:type="paragraph" w:styleId="CommentSubject">
    <w:name w:val="annotation subject"/>
    <w:basedOn w:val="CommentText"/>
    <w:next w:val="CommentText"/>
    <w:link w:val="CommentSubjectChar"/>
    <w:semiHidden/>
    <w:unhideWhenUsed/>
    <w:rsid w:val="00FC2C6E"/>
    <w:rPr>
      <w:b/>
      <w:bCs/>
    </w:rPr>
  </w:style>
  <w:style w:type="character" w:customStyle="1" w:styleId="CommentSubjectChar">
    <w:name w:val="Comment Subject Char"/>
    <w:basedOn w:val="CommentTextChar"/>
    <w:link w:val="CommentSubject"/>
    <w:semiHidden/>
    <w:rsid w:val="00FC2C6E"/>
    <w:rPr>
      <w:b/>
      <w:bCs/>
      <w:lang w:val="en-GB" w:eastAsia="en-GB"/>
    </w:rPr>
  </w:style>
  <w:style w:type="character" w:customStyle="1" w:styleId="PlainTextChar">
    <w:name w:val="Plain Text Char"/>
    <w:basedOn w:val="DefaultParagraphFont"/>
    <w:link w:val="PlainText"/>
    <w:rsid w:val="00210492"/>
    <w:rPr>
      <w:rFonts w:ascii="Courier New"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5cec8fd-eede-43ea-a7f7-e4f4e18d2a8d" ContentTypeId="0x010100E1CC3F4493E0FC4D8466E5A019837875" PreviousValue="true"/>
</file>

<file path=customXml/item2.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0" ma:contentTypeDescription="" ma:contentTypeScope="" ma:versionID="9655f2d65c7bf73972ddf1736638c3aa">
  <xsd:schema xmlns:xsd="http://www.w3.org/2001/XMLSchema" xmlns:xs="http://www.w3.org/2001/XMLSchema" xmlns:p="http://schemas.microsoft.com/office/2006/metadata/properties" xmlns:ns2="a74abe98-04d6-4650-a86d-b684cd679024" targetNamespace="http://schemas.microsoft.com/office/2006/metadata/properties" ma:root="true" ma:fieldsID="8c269e73c1bd99d3818bae084d90bd16" ns2:_="">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BF71-1DC6-4F4D-886A-96A082969762}">
  <ds:schemaRefs>
    <ds:schemaRef ds:uri="Microsoft.SharePoint.Taxonomy.ContentTypeSync"/>
  </ds:schemaRefs>
</ds:datastoreItem>
</file>

<file path=customXml/itemProps2.xml><?xml version="1.0" encoding="utf-8"?>
<ds:datastoreItem xmlns:ds="http://schemas.openxmlformats.org/officeDocument/2006/customXml" ds:itemID="{4B39FC3D-9597-4ADC-A781-5E9AFCCFF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108B3-B319-49B8-8963-1A01714092F4}">
  <ds:schemaRefs>
    <ds:schemaRef ds:uri="http://purl.org/dc/terms/"/>
    <ds:schemaRef ds:uri="a74abe98-04d6-4650-a86d-b684cd679024"/>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341FC4A-08A1-4D7F-8AAC-2AA593624DED}">
  <ds:schemaRefs>
    <ds:schemaRef ds:uri="http://schemas.microsoft.com/sharepoint/v3/contenttype/forms"/>
  </ds:schemaRefs>
</ds:datastoreItem>
</file>

<file path=customXml/itemProps5.xml><?xml version="1.0" encoding="utf-8"?>
<ds:datastoreItem xmlns:ds="http://schemas.openxmlformats.org/officeDocument/2006/customXml" ds:itemID="{CF3D32A6-E94B-40F0-B375-D6B78A521F84}">
  <ds:schemaRefs>
    <ds:schemaRef ds:uri="http://schemas.microsoft.com/sharepoint/events"/>
  </ds:schemaRefs>
</ds:datastoreItem>
</file>

<file path=customXml/itemProps6.xml><?xml version="1.0" encoding="utf-8"?>
<ds:datastoreItem xmlns:ds="http://schemas.openxmlformats.org/officeDocument/2006/customXml" ds:itemID="{FC399380-809E-4927-8EFF-23B75F95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Sharon Lloyd</dc:creator>
  <cp:keywords/>
  <dc:description/>
  <cp:lastModifiedBy>Lynn Ince</cp:lastModifiedBy>
  <cp:revision>7</cp:revision>
  <cp:lastPrinted>2015-01-28T10:40:00Z</cp:lastPrinted>
  <dcterms:created xsi:type="dcterms:W3CDTF">2015-01-15T10:37:00Z</dcterms:created>
  <dcterms:modified xsi:type="dcterms:W3CDTF">2015-01-28T15:39:00Z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TaxKeyword">
    <vt:lpwstr/>
  </property>
  <property fmtid="{D5CDD505-2E9C-101B-9397-08002B2CF9AE}" pid="4" name="SFRSTopic">
    <vt:lpwstr/>
  </property>
</Properties>
</file>