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94" w:rsidRDefault="00E80794" w:rsidP="00A46D0F">
      <w:pPr>
        <w:rPr>
          <w:rFonts w:ascii="Arial" w:hAnsi="Arial" w:cs="Arial"/>
          <w:b/>
        </w:rPr>
      </w:pPr>
      <w:bookmarkStart w:id="0" w:name="_GoBack"/>
      <w:bookmarkEnd w:id="0"/>
    </w:p>
    <w:p w:rsidR="00E80794" w:rsidRPr="00F67F79" w:rsidRDefault="00F67F79" w:rsidP="00A46D0F">
      <w:pPr>
        <w:rPr>
          <w:rFonts w:ascii="Arial" w:hAnsi="Arial" w:cs="Arial"/>
          <w:b/>
          <w:sz w:val="36"/>
          <w:szCs w:val="36"/>
        </w:rPr>
      </w:pPr>
      <w:r w:rsidRPr="00F67F79">
        <w:rPr>
          <w:rFonts w:ascii="Arial" w:hAnsi="Arial" w:cs="Arial"/>
          <w:b/>
          <w:sz w:val="36"/>
          <w:szCs w:val="36"/>
        </w:rPr>
        <w:t xml:space="preserve">Shropshire and Wrekin Fire </w:t>
      </w:r>
      <w:r w:rsidR="003F1BC3">
        <w:rPr>
          <w:rFonts w:ascii="Arial" w:hAnsi="Arial" w:cs="Arial"/>
          <w:b/>
          <w:sz w:val="36"/>
          <w:szCs w:val="36"/>
        </w:rPr>
        <w:t xml:space="preserve">and Rescue </w:t>
      </w:r>
      <w:r w:rsidRPr="00F67F79">
        <w:rPr>
          <w:rFonts w:ascii="Arial" w:hAnsi="Arial" w:cs="Arial"/>
          <w:b/>
          <w:sz w:val="36"/>
          <w:szCs w:val="36"/>
        </w:rPr>
        <w:t>Authority Budget 201</w:t>
      </w:r>
      <w:r w:rsidR="00FB241A">
        <w:rPr>
          <w:rFonts w:ascii="Arial" w:hAnsi="Arial" w:cs="Arial"/>
          <w:b/>
          <w:sz w:val="36"/>
          <w:szCs w:val="36"/>
        </w:rPr>
        <w:t>5</w:t>
      </w:r>
      <w:r w:rsidRPr="00F67F79">
        <w:rPr>
          <w:rFonts w:ascii="Arial" w:hAnsi="Arial" w:cs="Arial"/>
          <w:b/>
          <w:sz w:val="36"/>
          <w:szCs w:val="36"/>
        </w:rPr>
        <w:t>/1</w:t>
      </w:r>
      <w:r w:rsidR="00FB241A">
        <w:rPr>
          <w:rFonts w:ascii="Arial" w:hAnsi="Arial" w:cs="Arial"/>
          <w:b/>
          <w:sz w:val="36"/>
          <w:szCs w:val="36"/>
        </w:rPr>
        <w:t>6</w:t>
      </w:r>
    </w:p>
    <w:p w:rsidR="00E80794" w:rsidRDefault="00E80794" w:rsidP="00A46D0F">
      <w:pPr>
        <w:rPr>
          <w:rFonts w:ascii="Arial" w:hAnsi="Arial" w:cs="Arial"/>
          <w:b/>
        </w:rPr>
      </w:pPr>
    </w:p>
    <w:p w:rsidR="00E80794" w:rsidRPr="00F67F79" w:rsidRDefault="00E80794" w:rsidP="00E80794">
      <w:pPr>
        <w:rPr>
          <w:rFonts w:ascii="Arial" w:hAnsi="Arial" w:cs="Arial"/>
          <w:b/>
          <w:sz w:val="28"/>
          <w:szCs w:val="28"/>
        </w:rPr>
      </w:pPr>
      <w:r w:rsidRPr="00F67F79">
        <w:rPr>
          <w:rFonts w:ascii="Arial" w:hAnsi="Arial" w:cs="Arial"/>
          <w:b/>
          <w:sz w:val="28"/>
          <w:szCs w:val="28"/>
        </w:rPr>
        <w:t>Where our money comes from</w:t>
      </w:r>
    </w:p>
    <w:p w:rsidR="00E80794" w:rsidRDefault="00E80794" w:rsidP="00E80794">
      <w:pPr>
        <w:rPr>
          <w:rFonts w:ascii="Arial" w:hAnsi="Arial" w:cs="Arial"/>
          <w:b/>
        </w:rPr>
      </w:pPr>
    </w:p>
    <w:p w:rsidR="00E80794" w:rsidRDefault="00E80794" w:rsidP="00E807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Grant</w:t>
      </w:r>
    </w:p>
    <w:p w:rsidR="00F67F79" w:rsidRDefault="00F67F79" w:rsidP="00E80794">
      <w:pPr>
        <w:rPr>
          <w:rFonts w:ascii="Arial" w:hAnsi="Arial" w:cs="Arial"/>
          <w:b/>
        </w:rPr>
      </w:pPr>
    </w:p>
    <w:p w:rsidR="00E80794" w:rsidRDefault="00E80794" w:rsidP="00E807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Shropshire and Wrekin Fire </w:t>
      </w:r>
      <w:r w:rsidR="003F1BC3">
        <w:rPr>
          <w:rFonts w:ascii="Arial" w:hAnsi="Arial" w:cs="Arial"/>
        </w:rPr>
        <w:t xml:space="preserve">and Rescue </w:t>
      </w:r>
      <w:r>
        <w:rPr>
          <w:rFonts w:ascii="Arial" w:hAnsi="Arial" w:cs="Arial"/>
        </w:rPr>
        <w:t xml:space="preserve">Authority receives around </w:t>
      </w:r>
      <w:r w:rsidR="00FB241A">
        <w:rPr>
          <w:rFonts w:ascii="Arial" w:hAnsi="Arial" w:cs="Arial"/>
        </w:rPr>
        <w:t>one third</w:t>
      </w:r>
      <w:r>
        <w:rPr>
          <w:rFonts w:ascii="Arial" w:hAnsi="Arial" w:cs="Arial"/>
        </w:rPr>
        <w:t xml:space="preserve"> of its budget from government grant and business rates. Between 2011/12 and 2014/15, the Authority’s government grant will have reduced by around £2</w:t>
      </w:r>
      <w:r w:rsidR="00FB241A">
        <w:rPr>
          <w:rFonts w:ascii="Arial" w:hAnsi="Arial" w:cs="Arial"/>
        </w:rPr>
        <w:t>.7</w:t>
      </w:r>
      <w:r>
        <w:rPr>
          <w:rFonts w:ascii="Arial" w:hAnsi="Arial" w:cs="Arial"/>
        </w:rPr>
        <w:t>million.</w:t>
      </w:r>
    </w:p>
    <w:p w:rsidR="00E80794" w:rsidRDefault="00E80794" w:rsidP="00E80794">
      <w:pPr>
        <w:rPr>
          <w:rFonts w:ascii="Arial" w:hAnsi="Arial" w:cs="Arial"/>
        </w:rPr>
      </w:pPr>
    </w:p>
    <w:p w:rsidR="00E80794" w:rsidRDefault="00E80794" w:rsidP="00E807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 Tax</w:t>
      </w:r>
    </w:p>
    <w:p w:rsidR="00F67F79" w:rsidRDefault="00F67F79" w:rsidP="00E80794">
      <w:pPr>
        <w:rPr>
          <w:rFonts w:ascii="Arial" w:hAnsi="Arial" w:cs="Arial"/>
          <w:b/>
        </w:rPr>
      </w:pPr>
    </w:p>
    <w:p w:rsidR="00E80794" w:rsidRDefault="00E80794" w:rsidP="00E807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receive around </w:t>
      </w:r>
      <w:r w:rsidR="00FB241A">
        <w:rPr>
          <w:rFonts w:ascii="Arial" w:hAnsi="Arial" w:cs="Arial"/>
        </w:rPr>
        <w:t>two thirds</w:t>
      </w:r>
      <w:r>
        <w:rPr>
          <w:rFonts w:ascii="Arial" w:hAnsi="Arial" w:cs="Arial"/>
        </w:rPr>
        <w:t xml:space="preserve"> of our income from council tax. Each band D household in the area </w:t>
      </w:r>
      <w:r w:rsidR="00F67F79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>pays just £1.7</w:t>
      </w:r>
      <w:r w:rsidR="00FB241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per week for its fire and rescue service.</w:t>
      </w:r>
    </w:p>
    <w:p w:rsidR="00F67F79" w:rsidRDefault="00F67F79" w:rsidP="00E80794">
      <w:pPr>
        <w:rPr>
          <w:rFonts w:ascii="Arial" w:hAnsi="Arial" w:cs="Arial"/>
        </w:rPr>
      </w:pPr>
    </w:p>
    <w:p w:rsidR="00F67F79" w:rsidRDefault="00F67F79" w:rsidP="00E80794">
      <w:pPr>
        <w:rPr>
          <w:rFonts w:ascii="Arial" w:hAnsi="Arial" w:cs="Arial"/>
        </w:rPr>
      </w:pPr>
    </w:p>
    <w:p w:rsidR="00F67F79" w:rsidRDefault="00F67F79" w:rsidP="00E80794">
      <w:pPr>
        <w:rPr>
          <w:rFonts w:ascii="Arial" w:hAnsi="Arial" w:cs="Arial"/>
          <w:b/>
          <w:sz w:val="28"/>
          <w:szCs w:val="28"/>
        </w:rPr>
      </w:pPr>
      <w:r w:rsidRPr="00790EE7">
        <w:rPr>
          <w:rFonts w:ascii="Arial" w:hAnsi="Arial" w:cs="Arial"/>
          <w:b/>
          <w:sz w:val="28"/>
          <w:szCs w:val="28"/>
        </w:rPr>
        <w:t>Where your money goes</w:t>
      </w:r>
    </w:p>
    <w:p w:rsidR="00B52421" w:rsidRPr="00790EE7" w:rsidRDefault="00B52421" w:rsidP="00E80794">
      <w:pPr>
        <w:rPr>
          <w:rFonts w:ascii="Arial" w:hAnsi="Arial" w:cs="Arial"/>
          <w:b/>
          <w:sz w:val="28"/>
          <w:szCs w:val="28"/>
        </w:rPr>
      </w:pPr>
    </w:p>
    <w:p w:rsidR="00C66FB1" w:rsidRPr="00F67F79" w:rsidRDefault="00CF7D46" w:rsidP="00E80794">
      <w:pPr>
        <w:rPr>
          <w:rFonts w:ascii="Arial" w:hAnsi="Arial" w:cs="Arial"/>
          <w:b/>
          <w:sz w:val="28"/>
          <w:szCs w:val="28"/>
        </w:rPr>
      </w:pPr>
      <w:r w:rsidRPr="007B1C32">
        <w:rPr>
          <w:noProof/>
          <w:lang w:val="en-GB" w:eastAsia="en-GB"/>
        </w:rPr>
        <w:drawing>
          <wp:inline distT="0" distB="0" distL="0" distR="0">
            <wp:extent cx="5486400" cy="3343275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80794" w:rsidRDefault="00E80794" w:rsidP="00A46D0F">
      <w:pPr>
        <w:rPr>
          <w:rFonts w:ascii="Arial" w:hAnsi="Arial" w:cs="Arial"/>
          <w:b/>
        </w:rPr>
      </w:pPr>
    </w:p>
    <w:p w:rsidR="00C66FB1" w:rsidRPr="00EB2A10" w:rsidRDefault="00C66FB1" w:rsidP="00C66FB1">
      <w:pPr>
        <w:rPr>
          <w:rFonts w:ascii="Arial" w:hAnsi="Arial" w:cs="Arial"/>
        </w:rPr>
      </w:pPr>
      <w:r w:rsidRPr="00790EE7">
        <w:rPr>
          <w:rFonts w:ascii="Arial" w:hAnsi="Arial" w:cs="Arial"/>
        </w:rPr>
        <w:t>Around 70% of the total budget is spent</w:t>
      </w:r>
      <w:r w:rsidRPr="00EB2A10">
        <w:rPr>
          <w:rFonts w:ascii="Arial" w:hAnsi="Arial" w:cs="Arial"/>
        </w:rPr>
        <w:t xml:space="preserve"> on our staff: firefighters on the </w:t>
      </w:r>
      <w:r w:rsidR="00324EF3">
        <w:rPr>
          <w:rFonts w:ascii="Arial" w:hAnsi="Arial" w:cs="Arial"/>
        </w:rPr>
        <w:t>full time and part time</w:t>
      </w:r>
      <w:r w:rsidRPr="00EB2A10">
        <w:rPr>
          <w:rFonts w:ascii="Arial" w:hAnsi="Arial" w:cs="Arial"/>
        </w:rPr>
        <w:t xml:space="preserve"> duty systems, Fire Control staff, and non-uniformed support staff.</w:t>
      </w:r>
      <w:r w:rsidRPr="00EB2A10">
        <w:rPr>
          <w:rFonts w:ascii="Arial" w:hAnsi="Arial" w:cs="Arial"/>
        </w:rPr>
        <w:br/>
        <w:t>The remaining balance is spent on the supply and maintenance of</w:t>
      </w:r>
      <w:r w:rsidRPr="00CB19BF">
        <w:rPr>
          <w:rFonts w:ascii="Arial" w:hAnsi="Arial" w:cs="Arial"/>
          <w:sz w:val="28"/>
          <w:szCs w:val="28"/>
        </w:rPr>
        <w:t xml:space="preserve"> </w:t>
      </w:r>
      <w:r w:rsidRPr="00EB2A10">
        <w:rPr>
          <w:rFonts w:ascii="Arial" w:hAnsi="Arial" w:cs="Arial"/>
        </w:rPr>
        <w:t xml:space="preserve">operational </w:t>
      </w:r>
      <w:r w:rsidRPr="00EB2A10">
        <w:rPr>
          <w:rFonts w:ascii="Arial" w:hAnsi="Arial" w:cs="Arial"/>
        </w:rPr>
        <w:lastRenderedPageBreak/>
        <w:t>equipment, uniforms, supplies and services, information and communications technology, and funding the capital programme.</w:t>
      </w:r>
      <w:r w:rsidRPr="00EB2A10">
        <w:rPr>
          <w:rFonts w:ascii="Arial" w:hAnsi="Arial" w:cs="Arial"/>
        </w:rPr>
        <w:br/>
        <w:t xml:space="preserve">This year's programme includes </w:t>
      </w:r>
      <w:r w:rsidR="00790EE7">
        <w:rPr>
          <w:rFonts w:ascii="Arial" w:hAnsi="Arial" w:cs="Arial"/>
        </w:rPr>
        <w:t xml:space="preserve">building improvements at a number of our </w:t>
      </w:r>
      <w:r w:rsidR="00324EF3">
        <w:rPr>
          <w:rFonts w:ascii="Arial" w:hAnsi="Arial" w:cs="Arial"/>
        </w:rPr>
        <w:t>part time staffed</w:t>
      </w:r>
      <w:r w:rsidR="00790EE7">
        <w:rPr>
          <w:rFonts w:ascii="Arial" w:hAnsi="Arial" w:cs="Arial"/>
        </w:rPr>
        <w:t xml:space="preserve"> stations, </w:t>
      </w:r>
      <w:r w:rsidRPr="00EB2A10">
        <w:rPr>
          <w:rFonts w:ascii="Arial" w:hAnsi="Arial" w:cs="Arial"/>
        </w:rPr>
        <w:t>the replacement of service vehicles and operational equipment, and improvements to training facilities.</w:t>
      </w:r>
    </w:p>
    <w:p w:rsidR="00C66FB1" w:rsidRDefault="00C66FB1" w:rsidP="00A46D0F">
      <w:pPr>
        <w:rPr>
          <w:rFonts w:ascii="Arial" w:hAnsi="Arial" w:cs="Arial"/>
          <w:b/>
        </w:rPr>
      </w:pPr>
    </w:p>
    <w:p w:rsidR="00FB7D52" w:rsidRPr="00FB7D52" w:rsidRDefault="00FB7D52" w:rsidP="00FB7D52">
      <w:pPr>
        <w:rPr>
          <w:rFonts w:ascii="Arial" w:hAnsi="Arial" w:cs="Arial"/>
          <w:b/>
          <w:sz w:val="28"/>
          <w:szCs w:val="28"/>
        </w:rPr>
      </w:pPr>
      <w:r w:rsidRPr="00FB7D52">
        <w:rPr>
          <w:rFonts w:ascii="Arial" w:hAnsi="Arial" w:cs="Arial"/>
          <w:b/>
          <w:sz w:val="28"/>
          <w:szCs w:val="28"/>
        </w:rPr>
        <w:t>Where we have saved money</w:t>
      </w:r>
    </w:p>
    <w:p w:rsidR="00FB7D52" w:rsidRDefault="00FB7D52" w:rsidP="00FB7D52">
      <w:pPr>
        <w:rPr>
          <w:rFonts w:ascii="Arial" w:hAnsi="Arial" w:cs="Arial"/>
          <w:b/>
        </w:rPr>
      </w:pPr>
    </w:p>
    <w:p w:rsidR="00FB7D52" w:rsidRDefault="00FB7D52" w:rsidP="00FB7D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2011/12, we began a programme of budget cuts, which </w:t>
      </w:r>
      <w:r w:rsidR="00FB241A">
        <w:rPr>
          <w:rFonts w:ascii="Arial" w:hAnsi="Arial" w:cs="Arial"/>
        </w:rPr>
        <w:t>has seen</w:t>
      </w:r>
      <w:r>
        <w:rPr>
          <w:rFonts w:ascii="Arial" w:hAnsi="Arial" w:cs="Arial"/>
        </w:rPr>
        <w:t xml:space="preserve"> </w:t>
      </w:r>
      <w:r w:rsidR="00324EF3">
        <w:rPr>
          <w:rFonts w:ascii="Arial" w:hAnsi="Arial" w:cs="Arial"/>
        </w:rPr>
        <w:t>a reduction of more than</w:t>
      </w:r>
      <w:r>
        <w:rPr>
          <w:rFonts w:ascii="Arial" w:hAnsi="Arial" w:cs="Arial"/>
        </w:rPr>
        <w:t xml:space="preserve"> £3million </w:t>
      </w:r>
      <w:r w:rsidR="00FB241A">
        <w:rPr>
          <w:rFonts w:ascii="Arial" w:hAnsi="Arial" w:cs="Arial"/>
        </w:rPr>
        <w:t xml:space="preserve">in the revenue budget </w:t>
      </w:r>
      <w:r>
        <w:rPr>
          <w:rFonts w:ascii="Arial" w:hAnsi="Arial" w:cs="Arial"/>
        </w:rPr>
        <w:t>over four years. During this programme, budget reductions have included:</w:t>
      </w:r>
    </w:p>
    <w:p w:rsidR="00FB7D52" w:rsidRDefault="00324EF3" w:rsidP="00FB7D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="00FB7D52">
        <w:rPr>
          <w:rFonts w:ascii="Arial" w:hAnsi="Arial" w:cs="Arial"/>
          <w:sz w:val="24"/>
          <w:szCs w:val="24"/>
        </w:rPr>
        <w:t xml:space="preserve">eduction in </w:t>
      </w:r>
      <w:r>
        <w:rPr>
          <w:rFonts w:ascii="Arial" w:hAnsi="Arial" w:cs="Arial"/>
          <w:sz w:val="24"/>
          <w:szCs w:val="24"/>
        </w:rPr>
        <w:t xml:space="preserve">both </w:t>
      </w:r>
      <w:r w:rsidR="00FB7D52">
        <w:rPr>
          <w:rFonts w:ascii="Arial" w:hAnsi="Arial" w:cs="Arial"/>
          <w:sz w:val="24"/>
          <w:szCs w:val="24"/>
        </w:rPr>
        <w:t>firefighters and staff by 60 posts (around 10% of total staff)</w:t>
      </w:r>
    </w:p>
    <w:p w:rsidR="00FB7D52" w:rsidRDefault="00324EF3" w:rsidP="00FB7D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="00FB7D52">
        <w:rPr>
          <w:rFonts w:ascii="Arial" w:hAnsi="Arial" w:cs="Arial"/>
          <w:sz w:val="24"/>
          <w:szCs w:val="24"/>
        </w:rPr>
        <w:t xml:space="preserve">eduction </w:t>
      </w:r>
      <w:r w:rsidR="003F1BC3">
        <w:rPr>
          <w:rFonts w:ascii="Arial" w:hAnsi="Arial" w:cs="Arial"/>
          <w:sz w:val="24"/>
          <w:szCs w:val="24"/>
        </w:rPr>
        <w:t>in</w:t>
      </w:r>
      <w:r w:rsidR="00FB7D52">
        <w:rPr>
          <w:rFonts w:ascii="Arial" w:hAnsi="Arial" w:cs="Arial"/>
          <w:sz w:val="24"/>
          <w:szCs w:val="24"/>
        </w:rPr>
        <w:t xml:space="preserve"> operational fire officers of 25%</w:t>
      </w:r>
    </w:p>
    <w:p w:rsidR="00FB7D52" w:rsidRDefault="00324EF3" w:rsidP="00FB7D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</w:t>
      </w:r>
      <w:r w:rsidR="00FB7D52">
        <w:rPr>
          <w:rFonts w:ascii="Arial" w:hAnsi="Arial" w:cs="Arial"/>
          <w:sz w:val="24"/>
          <w:szCs w:val="24"/>
        </w:rPr>
        <w:t xml:space="preserve">ncrease </w:t>
      </w:r>
      <w:r w:rsidR="003F1BC3">
        <w:rPr>
          <w:rFonts w:ascii="Arial" w:hAnsi="Arial" w:cs="Arial"/>
          <w:sz w:val="24"/>
          <w:szCs w:val="24"/>
        </w:rPr>
        <w:t>in</w:t>
      </w:r>
      <w:r w:rsidR="00FB7D52">
        <w:rPr>
          <w:rFonts w:ascii="Arial" w:hAnsi="Arial" w:cs="Arial"/>
          <w:sz w:val="24"/>
          <w:szCs w:val="24"/>
        </w:rPr>
        <w:t xml:space="preserve"> the life of fire engines from 12 to 15 years</w:t>
      </w:r>
    </w:p>
    <w:p w:rsidR="00FB7D52" w:rsidRDefault="00FB7D52" w:rsidP="00FB7D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 to the way in which some fire engines are crewed.</w:t>
      </w:r>
    </w:p>
    <w:p w:rsidR="00FB7D52" w:rsidRDefault="00FB241A" w:rsidP="00FB7D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programme of cuts, along with other budget reductions </w:t>
      </w:r>
      <w:r w:rsidR="00324EF3">
        <w:rPr>
          <w:rFonts w:ascii="Arial" w:hAnsi="Arial" w:cs="Arial"/>
        </w:rPr>
        <w:t>implemented</w:t>
      </w:r>
      <w:r>
        <w:rPr>
          <w:rFonts w:ascii="Arial" w:hAnsi="Arial" w:cs="Arial"/>
        </w:rPr>
        <w:t xml:space="preserve"> by officers, means that the Service </w:t>
      </w:r>
      <w:r w:rsidR="00324EF3">
        <w:rPr>
          <w:rFonts w:ascii="Arial" w:hAnsi="Arial" w:cs="Arial"/>
        </w:rPr>
        <w:t xml:space="preserve">continues to operate within its budgets. </w:t>
      </w:r>
      <w:r>
        <w:rPr>
          <w:rFonts w:ascii="Arial" w:hAnsi="Arial" w:cs="Arial"/>
        </w:rPr>
        <w:t>But</w:t>
      </w:r>
      <w:r w:rsidR="00FB7D52">
        <w:rPr>
          <w:rFonts w:ascii="Arial" w:hAnsi="Arial" w:cs="Arial"/>
        </w:rPr>
        <w:t xml:space="preserve"> even after these reductions, the Service </w:t>
      </w:r>
      <w:r>
        <w:rPr>
          <w:rFonts w:ascii="Arial" w:hAnsi="Arial" w:cs="Arial"/>
        </w:rPr>
        <w:t>is still likely to</w:t>
      </w:r>
      <w:r w:rsidR="00FB7D52">
        <w:rPr>
          <w:rFonts w:ascii="Arial" w:hAnsi="Arial" w:cs="Arial"/>
        </w:rPr>
        <w:t xml:space="preserve"> face a budget shortfall </w:t>
      </w:r>
      <w:r w:rsidR="00BB2156">
        <w:rPr>
          <w:rFonts w:ascii="Arial" w:hAnsi="Arial" w:cs="Arial"/>
        </w:rPr>
        <w:t>in future years</w:t>
      </w:r>
      <w:r w:rsidR="00FB7D52">
        <w:rPr>
          <w:rFonts w:ascii="Arial" w:hAnsi="Arial" w:cs="Arial"/>
        </w:rPr>
        <w:t>.</w:t>
      </w:r>
    </w:p>
    <w:p w:rsidR="00FB7D52" w:rsidRDefault="00FB7D52" w:rsidP="00FB7D52">
      <w:pPr>
        <w:rPr>
          <w:rFonts w:ascii="Arial" w:hAnsi="Arial" w:cs="Arial"/>
        </w:rPr>
      </w:pPr>
    </w:p>
    <w:p w:rsidR="00FB7D52" w:rsidRDefault="005A0C0A" w:rsidP="00FB7D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Fire Authority’s </w:t>
      </w:r>
      <w:r w:rsidRPr="005A0C0A">
        <w:rPr>
          <w:rFonts w:ascii="Arial" w:hAnsi="Arial" w:cs="Arial"/>
          <w:b/>
        </w:rPr>
        <w:t xml:space="preserve">Integrated Risk Management Plan </w:t>
      </w:r>
      <w:r w:rsidR="00BB2156">
        <w:rPr>
          <w:rFonts w:ascii="Arial" w:hAnsi="Arial" w:cs="Arial"/>
          <w:b/>
        </w:rPr>
        <w:t xml:space="preserve">(IRMP) </w:t>
      </w:r>
      <w:r w:rsidRPr="005A0C0A">
        <w:rPr>
          <w:rFonts w:ascii="Arial" w:hAnsi="Arial" w:cs="Arial"/>
          <w:b/>
        </w:rPr>
        <w:t>2020 Process</w:t>
      </w:r>
      <w:r>
        <w:rPr>
          <w:rFonts w:ascii="Arial" w:hAnsi="Arial" w:cs="Arial"/>
        </w:rPr>
        <w:t xml:space="preserve"> has been developed to ensure that:</w:t>
      </w:r>
    </w:p>
    <w:p w:rsidR="005A0C0A" w:rsidRDefault="005A0C0A" w:rsidP="005A0C0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 have appropriate plans in place to deal with a potential shortfall in the Service’s budget going forward to 2020, and</w:t>
      </w:r>
    </w:p>
    <w:p w:rsidR="005A0C0A" w:rsidRDefault="005A0C0A" w:rsidP="005A0C0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Service’s resources continue to be used to best effect to reduce risk within the County.</w:t>
      </w:r>
    </w:p>
    <w:p w:rsidR="00BB2156" w:rsidRDefault="00BB2156" w:rsidP="005A0C0A">
      <w:pPr>
        <w:rPr>
          <w:rFonts w:ascii="Arial" w:hAnsi="Arial" w:cs="Arial"/>
        </w:rPr>
      </w:pPr>
    </w:p>
    <w:p w:rsidR="005A0C0A" w:rsidRDefault="00BB2156" w:rsidP="005A0C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part of the IRMP, officers have consulted with employees and members of the public about improving the way the service is delivered, and </w:t>
      </w:r>
      <w:r w:rsidR="00DE3BEF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making efficiency savings into the future. A number of reviews will be undertaken over</w:t>
      </w:r>
      <w:r w:rsidR="00DE3BEF">
        <w:rPr>
          <w:rFonts w:ascii="Arial" w:hAnsi="Arial" w:cs="Arial"/>
        </w:rPr>
        <w:t xml:space="preserve"> the next two years.</w:t>
      </w:r>
    </w:p>
    <w:p w:rsidR="00FB7D52" w:rsidRDefault="00FB7D52" w:rsidP="00FB7D52">
      <w:pPr>
        <w:rPr>
          <w:rFonts w:ascii="Arial" w:hAnsi="Arial" w:cs="Arial"/>
        </w:rPr>
      </w:pPr>
    </w:p>
    <w:p w:rsidR="00FB7D52" w:rsidRPr="00FB7D52" w:rsidRDefault="00FB7D52" w:rsidP="00FB7D52">
      <w:pPr>
        <w:rPr>
          <w:rFonts w:ascii="Arial" w:hAnsi="Arial" w:cs="Arial"/>
          <w:b/>
          <w:sz w:val="28"/>
          <w:szCs w:val="28"/>
        </w:rPr>
      </w:pPr>
      <w:r w:rsidRPr="00FB7D52">
        <w:rPr>
          <w:rFonts w:ascii="Arial" w:hAnsi="Arial" w:cs="Arial"/>
          <w:b/>
          <w:sz w:val="28"/>
          <w:szCs w:val="28"/>
        </w:rPr>
        <w:t>What about 201</w:t>
      </w:r>
      <w:r w:rsidR="00DE3BEF">
        <w:rPr>
          <w:rFonts w:ascii="Arial" w:hAnsi="Arial" w:cs="Arial"/>
          <w:b/>
          <w:sz w:val="28"/>
          <w:szCs w:val="28"/>
        </w:rPr>
        <w:t>5</w:t>
      </w:r>
      <w:r w:rsidRPr="00FB7D52">
        <w:rPr>
          <w:rFonts w:ascii="Arial" w:hAnsi="Arial" w:cs="Arial"/>
          <w:b/>
          <w:sz w:val="28"/>
          <w:szCs w:val="28"/>
        </w:rPr>
        <w:t>/1</w:t>
      </w:r>
      <w:r w:rsidR="00DE3BEF">
        <w:rPr>
          <w:rFonts w:ascii="Arial" w:hAnsi="Arial" w:cs="Arial"/>
          <w:b/>
          <w:sz w:val="28"/>
          <w:szCs w:val="28"/>
        </w:rPr>
        <w:t>6</w:t>
      </w:r>
      <w:r w:rsidRPr="00FB7D52">
        <w:rPr>
          <w:rFonts w:ascii="Arial" w:hAnsi="Arial" w:cs="Arial"/>
          <w:b/>
          <w:sz w:val="28"/>
          <w:szCs w:val="28"/>
        </w:rPr>
        <w:t>?</w:t>
      </w:r>
    </w:p>
    <w:p w:rsidR="00FB7D52" w:rsidRDefault="00FB7D52" w:rsidP="00A46D0F">
      <w:pPr>
        <w:rPr>
          <w:rFonts w:ascii="Arial" w:hAnsi="Arial" w:cs="Arial"/>
          <w:b/>
        </w:rPr>
      </w:pPr>
    </w:p>
    <w:p w:rsidR="00FB7D52" w:rsidRPr="00FB7D52" w:rsidRDefault="00FB7D52" w:rsidP="00A46D0F">
      <w:pPr>
        <w:rPr>
          <w:rFonts w:ascii="Arial" w:hAnsi="Arial" w:cs="Arial"/>
        </w:rPr>
      </w:pPr>
      <w:r w:rsidRPr="00FB7D52">
        <w:rPr>
          <w:rFonts w:ascii="Arial" w:hAnsi="Arial" w:cs="Arial"/>
        </w:rPr>
        <w:t xml:space="preserve">This year, we will </w:t>
      </w:r>
      <w:r>
        <w:rPr>
          <w:rFonts w:ascii="Arial" w:hAnsi="Arial" w:cs="Arial"/>
        </w:rPr>
        <w:t xml:space="preserve">increase council tax by 1.99% (3p per week per average household). This is because we want to ensure that </w:t>
      </w:r>
      <w:r w:rsidR="003F1BC3">
        <w:rPr>
          <w:rFonts w:ascii="Arial" w:hAnsi="Arial" w:cs="Arial"/>
        </w:rPr>
        <w:t>the public</w:t>
      </w:r>
      <w:r>
        <w:rPr>
          <w:rFonts w:ascii="Arial" w:hAnsi="Arial" w:cs="Arial"/>
        </w:rPr>
        <w:t xml:space="preserve"> still receive a</w:t>
      </w:r>
      <w:r w:rsidR="00A04848">
        <w:rPr>
          <w:rFonts w:ascii="Arial" w:hAnsi="Arial" w:cs="Arial"/>
        </w:rPr>
        <w:t>n effective</w:t>
      </w:r>
      <w:r>
        <w:rPr>
          <w:rFonts w:ascii="Arial" w:hAnsi="Arial" w:cs="Arial"/>
        </w:rPr>
        <w:t xml:space="preserve"> fire and rescue service, now and into the future.</w:t>
      </w:r>
    </w:p>
    <w:p w:rsidR="00FB7D52" w:rsidRDefault="00FB7D52" w:rsidP="00A46D0F">
      <w:pPr>
        <w:rPr>
          <w:rFonts w:ascii="Arial" w:hAnsi="Arial" w:cs="Arial"/>
          <w:b/>
        </w:rPr>
      </w:pPr>
    </w:p>
    <w:p w:rsidR="00E80794" w:rsidRDefault="00EF67C9" w:rsidP="00A46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46D0F" w:rsidRPr="005A2AC6" w:rsidRDefault="005A2AC6" w:rsidP="00A46D0F">
      <w:pPr>
        <w:rPr>
          <w:rFonts w:ascii="Arial" w:hAnsi="Arial" w:cs="Arial"/>
          <w:b/>
        </w:rPr>
      </w:pPr>
      <w:r w:rsidRPr="005A2AC6">
        <w:rPr>
          <w:rFonts w:ascii="Arial" w:hAnsi="Arial" w:cs="Arial"/>
          <w:b/>
        </w:rPr>
        <w:t>Th</w:t>
      </w:r>
      <w:r w:rsidR="00C41ACD">
        <w:rPr>
          <w:rFonts w:ascii="Arial" w:hAnsi="Arial" w:cs="Arial"/>
          <w:b/>
        </w:rPr>
        <w:t>e Budget Requirement for 201</w:t>
      </w:r>
      <w:r w:rsidR="00DE3BEF">
        <w:rPr>
          <w:rFonts w:ascii="Arial" w:hAnsi="Arial" w:cs="Arial"/>
          <w:b/>
        </w:rPr>
        <w:t>5</w:t>
      </w:r>
      <w:r w:rsidR="00C41ACD">
        <w:rPr>
          <w:rFonts w:ascii="Arial" w:hAnsi="Arial" w:cs="Arial"/>
          <w:b/>
        </w:rPr>
        <w:t>/1</w:t>
      </w:r>
      <w:r w:rsidR="00DE3BEF">
        <w:rPr>
          <w:rFonts w:ascii="Arial" w:hAnsi="Arial" w:cs="Arial"/>
          <w:b/>
        </w:rPr>
        <w:t>6</w:t>
      </w:r>
    </w:p>
    <w:p w:rsidR="00E80794" w:rsidRDefault="00E80794" w:rsidP="00A46D0F">
      <w:pPr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418"/>
        <w:gridCol w:w="1417"/>
      </w:tblGrid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5</w:t>
            </w:r>
            <w:r w:rsidRPr="00B437AA">
              <w:rPr>
                <w:rFonts w:ascii="Arial" w:hAnsi="Arial" w:cs="Arial"/>
                <w:b/>
              </w:rPr>
              <w:t>/1</w:t>
            </w:r>
            <w:r>
              <w:rPr>
                <w:rFonts w:ascii="Arial" w:hAnsi="Arial" w:cs="Arial"/>
                <w:b/>
              </w:rPr>
              <w:t>6</w:t>
            </w:r>
          </w:p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£’000</w:t>
            </w:r>
          </w:p>
        </w:tc>
        <w:tc>
          <w:tcPr>
            <w:tcW w:w="1417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2014/15</w:t>
            </w:r>
          </w:p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£’000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 xml:space="preserve">Gross </w:t>
            </w:r>
            <w:r>
              <w:rPr>
                <w:rFonts w:ascii="Arial" w:hAnsi="Arial" w:cs="Arial"/>
              </w:rPr>
              <w:t>e</w:t>
            </w:r>
            <w:r w:rsidRPr="00B437AA">
              <w:rPr>
                <w:rFonts w:ascii="Arial" w:hAnsi="Arial" w:cs="Arial"/>
              </w:rPr>
              <w:t>xpenditure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A07AE3">
            <w:pPr>
              <w:jc w:val="right"/>
              <w:rPr>
                <w:rFonts w:ascii="Arial" w:hAnsi="Arial" w:cs="Arial"/>
              </w:rPr>
            </w:pPr>
            <w:r w:rsidRPr="00F02733">
              <w:rPr>
                <w:rFonts w:ascii="Arial" w:hAnsi="Arial" w:cs="Arial"/>
              </w:rPr>
              <w:t>21,</w:t>
            </w:r>
            <w:r w:rsidR="00A07AE3">
              <w:rPr>
                <w:rFonts w:ascii="Arial" w:hAnsi="Arial" w:cs="Arial"/>
              </w:rPr>
              <w:t>123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 w:rsidRPr="00F02733">
              <w:rPr>
                <w:rFonts w:ascii="Arial" w:hAnsi="Arial" w:cs="Arial"/>
              </w:rPr>
              <w:t>21,</w:t>
            </w:r>
            <w:r>
              <w:rPr>
                <w:rFonts w:ascii="Arial" w:hAnsi="Arial" w:cs="Arial"/>
              </w:rPr>
              <w:t>1</w:t>
            </w:r>
            <w:r w:rsidRPr="00F02733">
              <w:rPr>
                <w:rFonts w:ascii="Arial" w:hAnsi="Arial" w:cs="Arial"/>
              </w:rPr>
              <w:t>85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 xml:space="preserve">Contributed to </w:t>
            </w:r>
            <w:r>
              <w:rPr>
                <w:rFonts w:ascii="Arial" w:hAnsi="Arial" w:cs="Arial"/>
              </w:rPr>
              <w:t>r</w:t>
            </w:r>
            <w:r w:rsidRPr="00B437AA">
              <w:rPr>
                <w:rFonts w:ascii="Arial" w:hAnsi="Arial" w:cs="Arial"/>
              </w:rPr>
              <w:t>eserves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B91FDE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 w:rsidRPr="00F02733">
              <w:rPr>
                <w:rFonts w:ascii="Arial" w:hAnsi="Arial" w:cs="Arial"/>
              </w:rPr>
              <w:t>314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>Income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A07AE3">
            <w:pPr>
              <w:jc w:val="right"/>
              <w:rPr>
                <w:rFonts w:ascii="Arial" w:hAnsi="Arial" w:cs="Arial"/>
              </w:rPr>
            </w:pPr>
            <w:r w:rsidRPr="00F02733">
              <w:rPr>
                <w:rFonts w:ascii="Arial" w:hAnsi="Arial" w:cs="Arial"/>
              </w:rPr>
              <w:t>(</w:t>
            </w:r>
            <w:r w:rsidR="00A07AE3">
              <w:rPr>
                <w:rFonts w:ascii="Arial" w:hAnsi="Arial" w:cs="Arial"/>
              </w:rPr>
              <w:t>224</w:t>
            </w:r>
            <w:r w:rsidRPr="00F02733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 w:rsidRPr="00F02733">
              <w:rPr>
                <w:rFonts w:ascii="Arial" w:hAnsi="Arial" w:cs="Arial"/>
              </w:rPr>
              <w:t>(119)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Net Budget Requirement</w:t>
            </w:r>
          </w:p>
        </w:tc>
        <w:tc>
          <w:tcPr>
            <w:tcW w:w="1418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21,441</w:t>
            </w:r>
          </w:p>
        </w:tc>
        <w:tc>
          <w:tcPr>
            <w:tcW w:w="1417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21,380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Financed by:</w:t>
            </w:r>
          </w:p>
        </w:tc>
        <w:tc>
          <w:tcPr>
            <w:tcW w:w="1418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 xml:space="preserve">Government </w:t>
            </w:r>
            <w:r>
              <w:rPr>
                <w:rFonts w:ascii="Arial" w:hAnsi="Arial" w:cs="Arial"/>
              </w:rPr>
              <w:t>g</w:t>
            </w:r>
            <w:r w:rsidRPr="00B437AA">
              <w:rPr>
                <w:rFonts w:ascii="Arial" w:hAnsi="Arial" w:cs="Arial"/>
              </w:rPr>
              <w:t>rants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5,875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6,725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 xml:space="preserve">Business </w:t>
            </w:r>
            <w:r>
              <w:rPr>
                <w:rFonts w:ascii="Arial" w:hAnsi="Arial" w:cs="Arial"/>
              </w:rPr>
              <w:t>r</w:t>
            </w:r>
            <w:r w:rsidRPr="00B437AA">
              <w:rPr>
                <w:rFonts w:ascii="Arial" w:hAnsi="Arial" w:cs="Arial"/>
              </w:rPr>
              <w:t>ates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1,489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1,434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tax c</w:t>
            </w:r>
            <w:r w:rsidRPr="00B437AA">
              <w:rPr>
                <w:rFonts w:ascii="Arial" w:hAnsi="Arial" w:cs="Arial"/>
              </w:rPr>
              <w:t xml:space="preserve">ollection </w:t>
            </w:r>
            <w:r>
              <w:rPr>
                <w:rFonts w:ascii="Arial" w:hAnsi="Arial" w:cs="Arial"/>
              </w:rPr>
              <w:t>f</w:t>
            </w:r>
            <w:r w:rsidRPr="00B437AA">
              <w:rPr>
                <w:rFonts w:ascii="Arial" w:hAnsi="Arial" w:cs="Arial"/>
              </w:rPr>
              <w:t xml:space="preserve">und </w:t>
            </w:r>
            <w:r>
              <w:rPr>
                <w:rFonts w:ascii="Arial" w:hAnsi="Arial" w:cs="Arial"/>
              </w:rPr>
              <w:t>s</w:t>
            </w:r>
            <w:r w:rsidRPr="00B437AA">
              <w:rPr>
                <w:rFonts w:ascii="Arial" w:hAnsi="Arial" w:cs="Arial"/>
              </w:rPr>
              <w:t>urplus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rates collection fund surplus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 w:rsidRPr="00F0273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9</w:t>
            </w:r>
            <w:r w:rsidRPr="00F02733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 w:rsidRPr="00F02733">
              <w:rPr>
                <w:rFonts w:ascii="Arial" w:hAnsi="Arial" w:cs="Arial"/>
              </w:rPr>
              <w:t>(39)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 xml:space="preserve">Council </w:t>
            </w:r>
            <w:r>
              <w:rPr>
                <w:rFonts w:ascii="Arial" w:hAnsi="Arial" w:cs="Arial"/>
              </w:rPr>
              <w:t>t</w:t>
            </w:r>
            <w:r w:rsidRPr="00B437AA">
              <w:rPr>
                <w:rFonts w:ascii="Arial" w:hAnsi="Arial" w:cs="Arial"/>
              </w:rPr>
              <w:t>ax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13,612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13,091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Total Financing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 w:rsidRPr="00F02733">
              <w:rPr>
                <w:rFonts w:ascii="Arial" w:hAnsi="Arial" w:cs="Arial"/>
                <w:b/>
              </w:rPr>
              <w:t>21,</w:t>
            </w:r>
            <w:r>
              <w:rPr>
                <w:rFonts w:ascii="Arial" w:hAnsi="Arial" w:cs="Arial"/>
                <w:b/>
              </w:rPr>
              <w:t>441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 w:rsidRPr="00F02733">
              <w:rPr>
                <w:rFonts w:ascii="Arial" w:hAnsi="Arial" w:cs="Arial"/>
                <w:b/>
              </w:rPr>
              <w:t>21,380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  <w:b/>
              </w:rPr>
            </w:pPr>
          </w:p>
          <w:p w:rsidR="00DE3BEF" w:rsidRDefault="00DE3BEF" w:rsidP="00DE3BEF">
            <w:pPr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Changes in the budget requirement for 201</w:t>
            </w:r>
            <w:r>
              <w:rPr>
                <w:rFonts w:ascii="Arial" w:hAnsi="Arial" w:cs="Arial"/>
                <w:b/>
              </w:rPr>
              <w:t>5</w:t>
            </w:r>
            <w:r w:rsidRPr="00B437AA">
              <w:rPr>
                <w:rFonts w:ascii="Arial" w:hAnsi="Arial" w:cs="Arial"/>
                <w:b/>
              </w:rPr>
              <w:t>/1</w:t>
            </w:r>
            <w:r>
              <w:rPr>
                <w:rFonts w:ascii="Arial" w:hAnsi="Arial" w:cs="Arial"/>
                <w:b/>
              </w:rPr>
              <w:t>6</w:t>
            </w:r>
          </w:p>
          <w:p w:rsidR="00DE3BEF" w:rsidRPr="00B437AA" w:rsidRDefault="00DE3BEF" w:rsidP="00DE3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Total 201</w:t>
            </w:r>
            <w:r>
              <w:rPr>
                <w:rFonts w:ascii="Arial" w:hAnsi="Arial" w:cs="Arial"/>
                <w:b/>
              </w:rPr>
              <w:t>4</w:t>
            </w:r>
            <w:r w:rsidRPr="00B437AA">
              <w:rPr>
                <w:rFonts w:ascii="Arial" w:hAnsi="Arial" w:cs="Arial"/>
                <w:b/>
              </w:rPr>
              <w:t>/1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21,</w:t>
            </w:r>
            <w:r>
              <w:rPr>
                <w:rFonts w:ascii="Arial" w:hAnsi="Arial" w:cs="Arial"/>
                <w:b/>
              </w:rPr>
              <w:t>380</w:t>
            </w:r>
          </w:p>
        </w:tc>
        <w:tc>
          <w:tcPr>
            <w:tcW w:w="1417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21,260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>Inflation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>Contributions to reserves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1D149A" w:rsidP="002470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(113)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(52)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>Efficiencies</w:t>
            </w:r>
            <w:r w:rsidR="005E36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442EFD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(30)</w:t>
            </w:r>
          </w:p>
        </w:tc>
      </w:tr>
      <w:tr w:rsidR="005E3640" w:rsidRPr="00B437AA" w:rsidTr="00B437AA">
        <w:tc>
          <w:tcPr>
            <w:tcW w:w="6345" w:type="dxa"/>
            <w:shd w:val="clear" w:color="auto" w:fill="auto"/>
          </w:tcPr>
          <w:p w:rsidR="005E3640" w:rsidRPr="00B437AA" w:rsidRDefault="005E3640" w:rsidP="005E36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IRMP 2020 reductions</w:t>
            </w:r>
          </w:p>
        </w:tc>
        <w:tc>
          <w:tcPr>
            <w:tcW w:w="1418" w:type="dxa"/>
            <w:shd w:val="clear" w:color="auto" w:fill="auto"/>
          </w:tcPr>
          <w:p w:rsidR="005E3640" w:rsidRDefault="005E3640" w:rsidP="005E36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(300)</w:t>
            </w:r>
          </w:p>
        </w:tc>
        <w:tc>
          <w:tcPr>
            <w:tcW w:w="1417" w:type="dxa"/>
            <w:shd w:val="clear" w:color="auto" w:fill="auto"/>
          </w:tcPr>
          <w:p w:rsidR="005E3640" w:rsidRDefault="005E3640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 xml:space="preserve">Budget reductions 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DE3BEF" w:rsidP="00442E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42EFD">
              <w:rPr>
                <w:rFonts w:ascii="Arial" w:hAnsi="Arial" w:cs="Arial"/>
              </w:rPr>
              <w:t>472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(344)</w:t>
            </w:r>
          </w:p>
        </w:tc>
      </w:tr>
      <w:tr w:rsidR="005E3640" w:rsidRPr="00B437AA" w:rsidTr="00B437AA">
        <w:tc>
          <w:tcPr>
            <w:tcW w:w="6345" w:type="dxa"/>
            <w:shd w:val="clear" w:color="auto" w:fill="auto"/>
          </w:tcPr>
          <w:p w:rsidR="005E3640" w:rsidRPr="00B437AA" w:rsidRDefault="005E3640" w:rsidP="00DE3B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Income</w:t>
            </w:r>
          </w:p>
        </w:tc>
        <w:tc>
          <w:tcPr>
            <w:tcW w:w="1418" w:type="dxa"/>
            <w:shd w:val="clear" w:color="auto" w:fill="auto"/>
          </w:tcPr>
          <w:p w:rsidR="005E3640" w:rsidRDefault="005E3640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(105)</w:t>
            </w:r>
          </w:p>
        </w:tc>
        <w:tc>
          <w:tcPr>
            <w:tcW w:w="1417" w:type="dxa"/>
            <w:shd w:val="clear" w:color="auto" w:fill="auto"/>
          </w:tcPr>
          <w:p w:rsidR="005E3640" w:rsidRDefault="00247045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</w:rPr>
            </w:pPr>
            <w:r w:rsidRPr="00B437AA">
              <w:rPr>
                <w:rFonts w:ascii="Arial" w:hAnsi="Arial" w:cs="Arial"/>
              </w:rPr>
              <w:t>Service developments</w:t>
            </w:r>
          </w:p>
        </w:tc>
        <w:tc>
          <w:tcPr>
            <w:tcW w:w="1418" w:type="dxa"/>
            <w:shd w:val="clear" w:color="auto" w:fill="auto"/>
          </w:tcPr>
          <w:p w:rsidR="00DE3BEF" w:rsidRPr="00F02733" w:rsidRDefault="005E3640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E3BEF" w:rsidRPr="00F02733" w:rsidRDefault="00DE3BEF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</w:t>
            </w:r>
          </w:p>
        </w:tc>
      </w:tr>
      <w:tr w:rsidR="00247045" w:rsidRPr="00B437AA" w:rsidTr="00B437AA">
        <w:tc>
          <w:tcPr>
            <w:tcW w:w="6345" w:type="dxa"/>
            <w:shd w:val="clear" w:color="auto" w:fill="auto"/>
          </w:tcPr>
          <w:p w:rsidR="00247045" w:rsidRPr="00247045" w:rsidRDefault="00247045" w:rsidP="00DE3BEF">
            <w:pPr>
              <w:rPr>
                <w:rFonts w:ascii="Arial" w:hAnsi="Arial" w:cs="Arial"/>
              </w:rPr>
            </w:pPr>
            <w:r w:rsidRPr="00247045">
              <w:rPr>
                <w:rFonts w:ascii="Arial" w:hAnsi="Arial" w:cs="Arial"/>
              </w:rPr>
              <w:t>Capital expenditure</w:t>
            </w:r>
          </w:p>
        </w:tc>
        <w:tc>
          <w:tcPr>
            <w:tcW w:w="1418" w:type="dxa"/>
            <w:shd w:val="clear" w:color="auto" w:fill="auto"/>
          </w:tcPr>
          <w:p w:rsidR="00247045" w:rsidRPr="00247045" w:rsidRDefault="00247045" w:rsidP="00DE3B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</w:t>
            </w:r>
          </w:p>
        </w:tc>
        <w:tc>
          <w:tcPr>
            <w:tcW w:w="1417" w:type="dxa"/>
            <w:shd w:val="clear" w:color="auto" w:fill="auto"/>
          </w:tcPr>
          <w:p w:rsidR="00247045" w:rsidRPr="00247045" w:rsidRDefault="00247045" w:rsidP="00DE3BEF">
            <w:pPr>
              <w:jc w:val="right"/>
              <w:rPr>
                <w:rFonts w:ascii="Arial" w:hAnsi="Arial" w:cs="Arial"/>
              </w:rPr>
            </w:pPr>
          </w:p>
        </w:tc>
      </w:tr>
      <w:tr w:rsidR="00DE3BEF" w:rsidRPr="00B437AA" w:rsidTr="00B437AA">
        <w:tc>
          <w:tcPr>
            <w:tcW w:w="6345" w:type="dxa"/>
            <w:shd w:val="clear" w:color="auto" w:fill="auto"/>
          </w:tcPr>
          <w:p w:rsidR="00DE3BEF" w:rsidRPr="00B437AA" w:rsidRDefault="00DE3BEF" w:rsidP="00DE3BEF">
            <w:pPr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Total 201</w:t>
            </w:r>
            <w:r>
              <w:rPr>
                <w:rFonts w:ascii="Arial" w:hAnsi="Arial" w:cs="Arial"/>
                <w:b/>
              </w:rPr>
              <w:t>5</w:t>
            </w:r>
            <w:r w:rsidRPr="00B437AA">
              <w:rPr>
                <w:rFonts w:ascii="Arial" w:hAnsi="Arial" w:cs="Arial"/>
                <w:b/>
              </w:rPr>
              <w:t>/1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21,</w:t>
            </w:r>
            <w:r w:rsidR="001D149A">
              <w:rPr>
                <w:rFonts w:ascii="Arial" w:hAnsi="Arial" w:cs="Arial"/>
                <w:b/>
              </w:rPr>
              <w:t>441</w:t>
            </w:r>
          </w:p>
          <w:p w:rsidR="00DE3BEF" w:rsidRPr="00B437AA" w:rsidRDefault="00DE3BEF" w:rsidP="00DE3B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DE3BEF" w:rsidRPr="00B437AA" w:rsidRDefault="00DE3BEF" w:rsidP="00DE3BEF">
            <w:pPr>
              <w:jc w:val="right"/>
              <w:rPr>
                <w:rFonts w:ascii="Arial" w:hAnsi="Arial" w:cs="Arial"/>
                <w:b/>
              </w:rPr>
            </w:pPr>
            <w:r w:rsidRPr="00B437AA">
              <w:rPr>
                <w:rFonts w:ascii="Arial" w:hAnsi="Arial" w:cs="Arial"/>
                <w:b/>
              </w:rPr>
              <w:t>21,3</w:t>
            </w:r>
            <w:r>
              <w:rPr>
                <w:rFonts w:ascii="Arial" w:hAnsi="Arial" w:cs="Arial"/>
                <w:b/>
              </w:rPr>
              <w:t>80</w:t>
            </w:r>
          </w:p>
          <w:p w:rsidR="00DE3BEF" w:rsidRPr="00B437AA" w:rsidRDefault="00DE3BEF" w:rsidP="00DE3BEF">
            <w:pPr>
              <w:jc w:val="right"/>
              <w:rPr>
                <w:rFonts w:ascii="Arial" w:hAnsi="Arial" w:cs="Arial"/>
              </w:rPr>
            </w:pPr>
          </w:p>
        </w:tc>
      </w:tr>
    </w:tbl>
    <w:p w:rsidR="00746986" w:rsidRDefault="00746986" w:rsidP="00A46D0F">
      <w:pPr>
        <w:rPr>
          <w:rFonts w:ascii="Arial" w:hAnsi="Arial" w:cs="Arial"/>
          <w:b/>
        </w:rPr>
      </w:pPr>
    </w:p>
    <w:p w:rsidR="00746986" w:rsidRDefault="00EF67C9" w:rsidP="00A46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46D0F" w:rsidRDefault="00A46D0F" w:rsidP="00A46D0F">
      <w:pPr>
        <w:rPr>
          <w:rFonts w:ascii="Arial" w:hAnsi="Arial" w:cs="Arial"/>
          <w:b/>
        </w:rPr>
      </w:pPr>
      <w:r w:rsidRPr="00EC11FE">
        <w:rPr>
          <w:rFonts w:ascii="Arial" w:hAnsi="Arial" w:cs="Arial"/>
          <w:b/>
        </w:rPr>
        <w:t>Council Tax Bands for 201</w:t>
      </w:r>
      <w:r w:rsidR="00B61EC6">
        <w:rPr>
          <w:rFonts w:ascii="Arial" w:hAnsi="Arial" w:cs="Arial"/>
          <w:b/>
        </w:rPr>
        <w:t>5</w:t>
      </w:r>
      <w:r w:rsidRPr="00EC11FE">
        <w:rPr>
          <w:rFonts w:ascii="Arial" w:hAnsi="Arial" w:cs="Arial"/>
          <w:b/>
        </w:rPr>
        <w:t>/1</w:t>
      </w:r>
      <w:r w:rsidR="00B61EC6">
        <w:rPr>
          <w:rFonts w:ascii="Arial" w:hAnsi="Arial" w:cs="Arial"/>
          <w:b/>
        </w:rPr>
        <w:t>6</w:t>
      </w:r>
    </w:p>
    <w:p w:rsidR="00324EF3" w:rsidRPr="00EC11FE" w:rsidRDefault="00324EF3" w:rsidP="00A46D0F">
      <w:pPr>
        <w:rPr>
          <w:rFonts w:ascii="Arial" w:hAnsi="Arial" w:cs="Arial"/>
          <w:b/>
        </w:rPr>
      </w:pPr>
    </w:p>
    <w:p w:rsidR="00A46D0F" w:rsidRDefault="00A46D0F" w:rsidP="00A46D0F">
      <w:pPr>
        <w:rPr>
          <w:rFonts w:ascii="Arial" w:hAnsi="Arial" w:cs="Arial"/>
        </w:rPr>
      </w:pPr>
      <w:r>
        <w:rPr>
          <w:rFonts w:ascii="Arial" w:hAnsi="Arial" w:cs="Arial"/>
        </w:rPr>
        <w:t>The increase in budget requirement for 201</w:t>
      </w:r>
      <w:r w:rsidR="00B61EC6">
        <w:rPr>
          <w:rFonts w:ascii="Arial" w:hAnsi="Arial" w:cs="Arial"/>
        </w:rPr>
        <w:t>5</w:t>
      </w:r>
      <w:r>
        <w:rPr>
          <w:rFonts w:ascii="Arial" w:hAnsi="Arial" w:cs="Arial"/>
        </w:rPr>
        <w:t>/1</w:t>
      </w:r>
      <w:r w:rsidR="00B61EC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equates to a </w:t>
      </w:r>
      <w:r w:rsidR="003526A6">
        <w:rPr>
          <w:rFonts w:ascii="Arial" w:hAnsi="Arial" w:cs="Arial"/>
        </w:rPr>
        <w:t>1.99%</w:t>
      </w:r>
      <w:r>
        <w:rPr>
          <w:rFonts w:ascii="Arial" w:hAnsi="Arial" w:cs="Arial"/>
        </w:rPr>
        <w:t xml:space="preserve"> increase in council tax. All bands and respective council tax levels, together with increases from last year, are shown in the table.</w:t>
      </w:r>
    </w:p>
    <w:p w:rsidR="00A46D0F" w:rsidRPr="00A46D0F" w:rsidRDefault="00A46D0F" w:rsidP="00A46D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440"/>
        <w:gridCol w:w="1260"/>
        <w:gridCol w:w="1491"/>
      </w:tblGrid>
      <w:tr w:rsidR="00A46D0F" w:rsidRPr="002A6190" w:rsidTr="002A6190">
        <w:tc>
          <w:tcPr>
            <w:tcW w:w="1008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  <w:gridSpan w:val="2"/>
            <w:shd w:val="clear" w:color="auto" w:fill="auto"/>
          </w:tcPr>
          <w:p w:rsidR="00A46D0F" w:rsidRPr="002A6190" w:rsidRDefault="00A46D0F" w:rsidP="00B61EC6">
            <w:pPr>
              <w:jc w:val="center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Increase from 201</w:t>
            </w:r>
            <w:r w:rsidR="00B61EC6">
              <w:rPr>
                <w:rFonts w:ascii="Arial" w:hAnsi="Arial" w:cs="Arial"/>
              </w:rPr>
              <w:t>4</w:t>
            </w:r>
            <w:r w:rsidRPr="002A6190">
              <w:rPr>
                <w:rFonts w:ascii="Arial" w:hAnsi="Arial" w:cs="Arial"/>
              </w:rPr>
              <w:t>/1</w:t>
            </w:r>
            <w:r w:rsidR="00B61EC6">
              <w:rPr>
                <w:rFonts w:ascii="Arial" w:hAnsi="Arial" w:cs="Arial"/>
              </w:rPr>
              <w:t>5</w:t>
            </w:r>
          </w:p>
        </w:tc>
      </w:tr>
      <w:tr w:rsidR="00A46D0F" w:rsidRPr="002A6190" w:rsidTr="002A6190">
        <w:tc>
          <w:tcPr>
            <w:tcW w:w="1008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</w:p>
          <w:p w:rsidR="00A46D0F" w:rsidRPr="002A6190" w:rsidRDefault="00A46D0F" w:rsidP="00A46D0F">
            <w:pPr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Band</w:t>
            </w:r>
          </w:p>
        </w:tc>
        <w:tc>
          <w:tcPr>
            <w:tcW w:w="1440" w:type="dxa"/>
            <w:shd w:val="clear" w:color="auto" w:fill="auto"/>
          </w:tcPr>
          <w:p w:rsidR="00A46D0F" w:rsidRPr="002A6190" w:rsidRDefault="00A46D0F" w:rsidP="002A6190">
            <w:pPr>
              <w:jc w:val="center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Amount</w:t>
            </w:r>
          </w:p>
          <w:p w:rsidR="00A46D0F" w:rsidRPr="002A6190" w:rsidRDefault="00A46D0F" w:rsidP="002A6190">
            <w:pPr>
              <w:jc w:val="center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201</w:t>
            </w:r>
            <w:r w:rsidR="00B61EC6">
              <w:rPr>
                <w:rFonts w:ascii="Arial" w:hAnsi="Arial" w:cs="Arial"/>
              </w:rPr>
              <w:t>5</w:t>
            </w:r>
            <w:r w:rsidR="003526A6" w:rsidRPr="002A6190">
              <w:rPr>
                <w:rFonts w:ascii="Arial" w:hAnsi="Arial" w:cs="Arial"/>
              </w:rPr>
              <w:t>/1</w:t>
            </w:r>
            <w:r w:rsidR="00B61EC6">
              <w:rPr>
                <w:rFonts w:ascii="Arial" w:hAnsi="Arial" w:cs="Arial"/>
              </w:rPr>
              <w:t>6</w:t>
            </w:r>
          </w:p>
          <w:p w:rsidR="00A46D0F" w:rsidRPr="002A6190" w:rsidRDefault="00A46D0F" w:rsidP="002A6190">
            <w:pPr>
              <w:jc w:val="center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£</w:t>
            </w:r>
          </w:p>
        </w:tc>
        <w:tc>
          <w:tcPr>
            <w:tcW w:w="1260" w:type="dxa"/>
            <w:shd w:val="clear" w:color="auto" w:fill="auto"/>
          </w:tcPr>
          <w:p w:rsidR="00A46D0F" w:rsidRPr="002A6190" w:rsidRDefault="00A46D0F" w:rsidP="002A6190">
            <w:pPr>
              <w:jc w:val="center"/>
              <w:rPr>
                <w:rFonts w:ascii="Arial" w:hAnsi="Arial" w:cs="Arial"/>
              </w:rPr>
            </w:pPr>
          </w:p>
          <w:p w:rsidR="00A46D0F" w:rsidRPr="002A6190" w:rsidRDefault="00A46D0F" w:rsidP="002A6190">
            <w:pPr>
              <w:jc w:val="center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Per Year</w:t>
            </w:r>
          </w:p>
          <w:p w:rsidR="00A46D0F" w:rsidRPr="002A6190" w:rsidRDefault="00A46D0F" w:rsidP="002A6190">
            <w:pPr>
              <w:jc w:val="center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£</w:t>
            </w:r>
          </w:p>
        </w:tc>
        <w:tc>
          <w:tcPr>
            <w:tcW w:w="1491" w:type="dxa"/>
            <w:shd w:val="clear" w:color="auto" w:fill="auto"/>
          </w:tcPr>
          <w:p w:rsidR="00A46D0F" w:rsidRPr="002A6190" w:rsidRDefault="00A46D0F" w:rsidP="002A6190">
            <w:pPr>
              <w:jc w:val="center"/>
              <w:rPr>
                <w:rFonts w:ascii="Arial" w:hAnsi="Arial" w:cs="Arial"/>
              </w:rPr>
            </w:pPr>
          </w:p>
          <w:p w:rsidR="00A46D0F" w:rsidRPr="002A6190" w:rsidRDefault="00A46D0F" w:rsidP="002A6190">
            <w:pPr>
              <w:jc w:val="center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Per Week</w:t>
            </w:r>
          </w:p>
          <w:p w:rsidR="00A46D0F" w:rsidRPr="002A6190" w:rsidRDefault="00A46D0F" w:rsidP="002A6190">
            <w:pPr>
              <w:jc w:val="center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£</w:t>
            </w:r>
          </w:p>
        </w:tc>
      </w:tr>
      <w:tr w:rsidR="00A46D0F" w:rsidRPr="002A6190" w:rsidTr="002A6190">
        <w:tc>
          <w:tcPr>
            <w:tcW w:w="1008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A</w:t>
            </w:r>
          </w:p>
        </w:tc>
        <w:tc>
          <w:tcPr>
            <w:tcW w:w="1440" w:type="dxa"/>
            <w:shd w:val="clear" w:color="auto" w:fill="auto"/>
          </w:tcPr>
          <w:p w:rsidR="00A46D0F" w:rsidRPr="002A6190" w:rsidRDefault="00FA526C" w:rsidP="00B61E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61EC6">
              <w:rPr>
                <w:rFonts w:ascii="Arial" w:hAnsi="Arial" w:cs="Arial"/>
              </w:rPr>
              <w:t>1.48</w:t>
            </w:r>
          </w:p>
        </w:tc>
        <w:tc>
          <w:tcPr>
            <w:tcW w:w="1260" w:type="dxa"/>
            <w:shd w:val="clear" w:color="auto" w:fill="auto"/>
          </w:tcPr>
          <w:p w:rsidR="00A46D0F" w:rsidRPr="002A6190" w:rsidRDefault="003526A6" w:rsidP="00B61EC6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1.</w:t>
            </w:r>
            <w:r w:rsidR="00B61EC6">
              <w:rPr>
                <w:rFonts w:ascii="Arial" w:hAnsi="Arial" w:cs="Arial"/>
              </w:rPr>
              <w:t>20</w:t>
            </w:r>
          </w:p>
        </w:tc>
        <w:tc>
          <w:tcPr>
            <w:tcW w:w="1491" w:type="dxa"/>
            <w:shd w:val="clear" w:color="auto" w:fill="auto"/>
          </w:tcPr>
          <w:p w:rsidR="00A46D0F" w:rsidRPr="002A6190" w:rsidRDefault="003526A6" w:rsidP="002A6190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0.02</w:t>
            </w:r>
          </w:p>
        </w:tc>
      </w:tr>
      <w:tr w:rsidR="00A46D0F" w:rsidRPr="002A6190" w:rsidTr="002A6190">
        <w:tc>
          <w:tcPr>
            <w:tcW w:w="1008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B</w:t>
            </w:r>
          </w:p>
        </w:tc>
        <w:tc>
          <w:tcPr>
            <w:tcW w:w="1440" w:type="dxa"/>
            <w:shd w:val="clear" w:color="auto" w:fill="auto"/>
          </w:tcPr>
          <w:p w:rsidR="00A46D0F" w:rsidRPr="002A6190" w:rsidRDefault="00FA526C" w:rsidP="00B61E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61EC6">
              <w:rPr>
                <w:rFonts w:ascii="Arial" w:hAnsi="Arial" w:cs="Arial"/>
              </w:rPr>
              <w:t>1.73</w:t>
            </w:r>
          </w:p>
        </w:tc>
        <w:tc>
          <w:tcPr>
            <w:tcW w:w="1260" w:type="dxa"/>
            <w:shd w:val="clear" w:color="auto" w:fill="auto"/>
          </w:tcPr>
          <w:p w:rsidR="00A46D0F" w:rsidRPr="002A6190" w:rsidRDefault="003526A6" w:rsidP="00B61EC6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1.</w:t>
            </w:r>
            <w:r w:rsidR="00B61EC6">
              <w:rPr>
                <w:rFonts w:ascii="Arial" w:hAnsi="Arial" w:cs="Arial"/>
              </w:rPr>
              <w:t>40</w:t>
            </w:r>
          </w:p>
        </w:tc>
        <w:tc>
          <w:tcPr>
            <w:tcW w:w="1491" w:type="dxa"/>
            <w:shd w:val="clear" w:color="auto" w:fill="auto"/>
          </w:tcPr>
          <w:p w:rsidR="00A46D0F" w:rsidRPr="002A6190" w:rsidRDefault="003526A6" w:rsidP="002A6190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0.03</w:t>
            </w:r>
          </w:p>
        </w:tc>
      </w:tr>
      <w:tr w:rsidR="00A46D0F" w:rsidRPr="002A6190" w:rsidTr="002A6190">
        <w:tc>
          <w:tcPr>
            <w:tcW w:w="1008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C</w:t>
            </w:r>
          </w:p>
        </w:tc>
        <w:tc>
          <w:tcPr>
            <w:tcW w:w="1440" w:type="dxa"/>
            <w:shd w:val="clear" w:color="auto" w:fill="auto"/>
          </w:tcPr>
          <w:p w:rsidR="00A46D0F" w:rsidRPr="002A6190" w:rsidRDefault="00FA526C" w:rsidP="00B61E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61EC6">
              <w:rPr>
                <w:rFonts w:ascii="Arial" w:hAnsi="Arial" w:cs="Arial"/>
              </w:rPr>
              <w:t>1.97</w:t>
            </w:r>
          </w:p>
        </w:tc>
        <w:tc>
          <w:tcPr>
            <w:tcW w:w="1260" w:type="dxa"/>
            <w:shd w:val="clear" w:color="auto" w:fill="auto"/>
          </w:tcPr>
          <w:p w:rsidR="00A46D0F" w:rsidRPr="002A6190" w:rsidRDefault="003526A6" w:rsidP="00B61EC6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1.</w:t>
            </w:r>
            <w:r w:rsidR="00B61EC6">
              <w:rPr>
                <w:rFonts w:ascii="Arial" w:hAnsi="Arial" w:cs="Arial"/>
              </w:rPr>
              <w:t>60</w:t>
            </w:r>
          </w:p>
        </w:tc>
        <w:tc>
          <w:tcPr>
            <w:tcW w:w="1491" w:type="dxa"/>
            <w:shd w:val="clear" w:color="auto" w:fill="auto"/>
          </w:tcPr>
          <w:p w:rsidR="00A46D0F" w:rsidRPr="002A6190" w:rsidRDefault="003526A6" w:rsidP="002A6190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0.03</w:t>
            </w:r>
          </w:p>
        </w:tc>
      </w:tr>
      <w:tr w:rsidR="00A46D0F" w:rsidRPr="002A6190" w:rsidTr="002A6190">
        <w:tc>
          <w:tcPr>
            <w:tcW w:w="1008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D</w:t>
            </w:r>
          </w:p>
        </w:tc>
        <w:tc>
          <w:tcPr>
            <w:tcW w:w="1440" w:type="dxa"/>
            <w:shd w:val="clear" w:color="auto" w:fill="auto"/>
          </w:tcPr>
          <w:p w:rsidR="00A46D0F" w:rsidRPr="002A6190" w:rsidRDefault="00FA526C" w:rsidP="00B61E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61EC6">
              <w:rPr>
                <w:rFonts w:ascii="Arial" w:hAnsi="Arial" w:cs="Arial"/>
              </w:rPr>
              <w:t>2.22</w:t>
            </w:r>
          </w:p>
        </w:tc>
        <w:tc>
          <w:tcPr>
            <w:tcW w:w="1260" w:type="dxa"/>
            <w:shd w:val="clear" w:color="auto" w:fill="auto"/>
          </w:tcPr>
          <w:p w:rsidR="00A46D0F" w:rsidRPr="002A6190" w:rsidRDefault="003526A6" w:rsidP="00B61EC6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1.</w:t>
            </w:r>
            <w:r w:rsidR="00B61EC6">
              <w:rPr>
                <w:rFonts w:ascii="Arial" w:hAnsi="Arial" w:cs="Arial"/>
              </w:rPr>
              <w:t>80</w:t>
            </w:r>
          </w:p>
        </w:tc>
        <w:tc>
          <w:tcPr>
            <w:tcW w:w="1491" w:type="dxa"/>
            <w:shd w:val="clear" w:color="auto" w:fill="auto"/>
          </w:tcPr>
          <w:p w:rsidR="00A46D0F" w:rsidRPr="002A6190" w:rsidRDefault="003526A6" w:rsidP="002A6190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0.03</w:t>
            </w:r>
          </w:p>
        </w:tc>
      </w:tr>
      <w:tr w:rsidR="00A46D0F" w:rsidRPr="002A6190" w:rsidTr="002A6190">
        <w:tc>
          <w:tcPr>
            <w:tcW w:w="1008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E</w:t>
            </w:r>
          </w:p>
        </w:tc>
        <w:tc>
          <w:tcPr>
            <w:tcW w:w="1440" w:type="dxa"/>
            <w:shd w:val="clear" w:color="auto" w:fill="auto"/>
          </w:tcPr>
          <w:p w:rsidR="00A46D0F" w:rsidRPr="002A6190" w:rsidRDefault="00FA526C" w:rsidP="00B61E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61EC6">
              <w:rPr>
                <w:rFonts w:ascii="Arial" w:hAnsi="Arial" w:cs="Arial"/>
              </w:rPr>
              <w:t>12.71</w:t>
            </w:r>
          </w:p>
        </w:tc>
        <w:tc>
          <w:tcPr>
            <w:tcW w:w="1260" w:type="dxa"/>
            <w:shd w:val="clear" w:color="auto" w:fill="auto"/>
          </w:tcPr>
          <w:p w:rsidR="00A46D0F" w:rsidRPr="002A6190" w:rsidRDefault="003526A6" w:rsidP="00B61EC6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2.</w:t>
            </w:r>
            <w:r w:rsidR="00B61EC6">
              <w:rPr>
                <w:rFonts w:ascii="Arial" w:hAnsi="Arial" w:cs="Arial"/>
              </w:rPr>
              <w:t>20</w:t>
            </w:r>
          </w:p>
        </w:tc>
        <w:tc>
          <w:tcPr>
            <w:tcW w:w="1491" w:type="dxa"/>
            <w:shd w:val="clear" w:color="auto" w:fill="auto"/>
          </w:tcPr>
          <w:p w:rsidR="00A46D0F" w:rsidRPr="002A6190" w:rsidRDefault="003526A6" w:rsidP="002A6190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0.04</w:t>
            </w:r>
          </w:p>
        </w:tc>
      </w:tr>
      <w:tr w:rsidR="00A46D0F" w:rsidRPr="002A6190" w:rsidTr="002A6190">
        <w:tc>
          <w:tcPr>
            <w:tcW w:w="1008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F</w:t>
            </w:r>
          </w:p>
        </w:tc>
        <w:tc>
          <w:tcPr>
            <w:tcW w:w="1440" w:type="dxa"/>
            <w:shd w:val="clear" w:color="auto" w:fill="auto"/>
          </w:tcPr>
          <w:p w:rsidR="00A46D0F" w:rsidRPr="002A6190" w:rsidRDefault="00FA526C" w:rsidP="00B61E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61EC6">
              <w:rPr>
                <w:rFonts w:ascii="Arial" w:hAnsi="Arial" w:cs="Arial"/>
              </w:rPr>
              <w:t>33.21</w:t>
            </w:r>
          </w:p>
        </w:tc>
        <w:tc>
          <w:tcPr>
            <w:tcW w:w="1260" w:type="dxa"/>
            <w:shd w:val="clear" w:color="auto" w:fill="auto"/>
          </w:tcPr>
          <w:p w:rsidR="00A46D0F" w:rsidRPr="002A6190" w:rsidRDefault="003526A6" w:rsidP="00B61EC6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2.</w:t>
            </w:r>
            <w:r w:rsidR="00B61EC6">
              <w:rPr>
                <w:rFonts w:ascii="Arial" w:hAnsi="Arial" w:cs="Arial"/>
              </w:rPr>
              <w:t>60</w:t>
            </w:r>
          </w:p>
        </w:tc>
        <w:tc>
          <w:tcPr>
            <w:tcW w:w="1491" w:type="dxa"/>
            <w:shd w:val="clear" w:color="auto" w:fill="auto"/>
          </w:tcPr>
          <w:p w:rsidR="00A46D0F" w:rsidRPr="002A6190" w:rsidRDefault="003526A6" w:rsidP="002A6190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0.05</w:t>
            </w:r>
          </w:p>
        </w:tc>
      </w:tr>
      <w:tr w:rsidR="00A46D0F" w:rsidRPr="002A6190" w:rsidTr="002A6190">
        <w:tc>
          <w:tcPr>
            <w:tcW w:w="1008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:rsidR="00A46D0F" w:rsidRPr="002A6190" w:rsidRDefault="00FA526C" w:rsidP="00B61E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61EC6">
              <w:rPr>
                <w:rFonts w:ascii="Arial" w:hAnsi="Arial" w:cs="Arial"/>
              </w:rPr>
              <w:t>53.70</w:t>
            </w:r>
          </w:p>
        </w:tc>
        <w:tc>
          <w:tcPr>
            <w:tcW w:w="1260" w:type="dxa"/>
            <w:shd w:val="clear" w:color="auto" w:fill="auto"/>
          </w:tcPr>
          <w:p w:rsidR="00A46D0F" w:rsidRPr="002A6190" w:rsidRDefault="00B61EC6" w:rsidP="00B61E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</w:t>
            </w:r>
          </w:p>
        </w:tc>
        <w:tc>
          <w:tcPr>
            <w:tcW w:w="1491" w:type="dxa"/>
            <w:shd w:val="clear" w:color="auto" w:fill="auto"/>
          </w:tcPr>
          <w:p w:rsidR="00A46D0F" w:rsidRPr="002A6190" w:rsidRDefault="003526A6" w:rsidP="002A6190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0.06</w:t>
            </w:r>
          </w:p>
        </w:tc>
      </w:tr>
      <w:tr w:rsidR="00A46D0F" w:rsidRPr="002A6190" w:rsidTr="002A6190">
        <w:tc>
          <w:tcPr>
            <w:tcW w:w="1008" w:type="dxa"/>
            <w:shd w:val="clear" w:color="auto" w:fill="auto"/>
          </w:tcPr>
          <w:p w:rsidR="00A46D0F" w:rsidRPr="002A6190" w:rsidRDefault="00A46D0F" w:rsidP="00A46D0F">
            <w:pPr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shd w:val="clear" w:color="auto" w:fill="auto"/>
          </w:tcPr>
          <w:p w:rsidR="00FA526C" w:rsidRPr="002A6190" w:rsidRDefault="00FA526C" w:rsidP="00B61E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61EC6">
              <w:rPr>
                <w:rFonts w:ascii="Arial" w:hAnsi="Arial" w:cs="Arial"/>
              </w:rPr>
              <w:t>84.44</w:t>
            </w:r>
          </w:p>
        </w:tc>
        <w:tc>
          <w:tcPr>
            <w:tcW w:w="1260" w:type="dxa"/>
            <w:shd w:val="clear" w:color="auto" w:fill="auto"/>
          </w:tcPr>
          <w:p w:rsidR="00A46D0F" w:rsidRPr="002A6190" w:rsidRDefault="00FA526C" w:rsidP="00B61E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B61EC6">
              <w:rPr>
                <w:rFonts w:ascii="Arial" w:hAnsi="Arial" w:cs="Arial"/>
              </w:rPr>
              <w:t>60</w:t>
            </w:r>
          </w:p>
        </w:tc>
        <w:tc>
          <w:tcPr>
            <w:tcW w:w="1491" w:type="dxa"/>
            <w:shd w:val="clear" w:color="auto" w:fill="auto"/>
          </w:tcPr>
          <w:p w:rsidR="00A46D0F" w:rsidRPr="002A6190" w:rsidRDefault="003526A6" w:rsidP="002A6190">
            <w:pPr>
              <w:jc w:val="right"/>
              <w:rPr>
                <w:rFonts w:ascii="Arial" w:hAnsi="Arial" w:cs="Arial"/>
              </w:rPr>
            </w:pPr>
            <w:r w:rsidRPr="002A6190">
              <w:rPr>
                <w:rFonts w:ascii="Arial" w:hAnsi="Arial" w:cs="Arial"/>
              </w:rPr>
              <w:t>0.07</w:t>
            </w:r>
          </w:p>
        </w:tc>
      </w:tr>
    </w:tbl>
    <w:p w:rsidR="00C23906" w:rsidRDefault="00C23906" w:rsidP="00BB001A">
      <w:pPr>
        <w:rPr>
          <w:rFonts w:ascii="Arial" w:hAnsi="Arial" w:cs="Arial"/>
        </w:rPr>
      </w:pPr>
    </w:p>
    <w:p w:rsidR="003D2CC4" w:rsidRDefault="00EB7C1A" w:rsidP="00BB001A">
      <w:pPr>
        <w:rPr>
          <w:rFonts w:ascii="Arial" w:hAnsi="Arial" w:cs="Arial"/>
        </w:rPr>
      </w:pPr>
      <w:r>
        <w:rPr>
          <w:rFonts w:ascii="Arial" w:hAnsi="Arial" w:cs="Arial"/>
        </w:rPr>
        <w:t>For further information about the financial performance of the Fire Authority, please contact:</w:t>
      </w:r>
    </w:p>
    <w:p w:rsidR="00EB7C1A" w:rsidRDefault="00EB7C1A" w:rsidP="00BB001A">
      <w:pPr>
        <w:rPr>
          <w:rFonts w:ascii="Arial" w:hAnsi="Arial" w:cs="Arial"/>
        </w:rPr>
      </w:pPr>
    </w:p>
    <w:p w:rsidR="00EB7C1A" w:rsidRDefault="00EB7C1A" w:rsidP="00BB001A">
      <w:pPr>
        <w:rPr>
          <w:rFonts w:ascii="Arial" w:hAnsi="Arial" w:cs="Arial"/>
        </w:rPr>
      </w:pPr>
      <w:r>
        <w:rPr>
          <w:rFonts w:ascii="Arial" w:hAnsi="Arial" w:cs="Arial"/>
        </w:rPr>
        <w:t>Finance Section</w:t>
      </w:r>
    </w:p>
    <w:p w:rsidR="00EB7C1A" w:rsidRDefault="00EB7C1A" w:rsidP="00BB001A">
      <w:pPr>
        <w:rPr>
          <w:rFonts w:ascii="Arial" w:hAnsi="Arial" w:cs="Arial"/>
        </w:rPr>
      </w:pPr>
      <w:r>
        <w:rPr>
          <w:rFonts w:ascii="Arial" w:hAnsi="Arial" w:cs="Arial"/>
        </w:rPr>
        <w:t>Shropshire Fire and Rescue Service</w:t>
      </w:r>
    </w:p>
    <w:p w:rsidR="00EB7C1A" w:rsidRDefault="00EB7C1A" w:rsidP="00BB001A">
      <w:pPr>
        <w:rPr>
          <w:rFonts w:ascii="Arial" w:hAnsi="Arial" w:cs="Arial"/>
        </w:rPr>
      </w:pPr>
      <w:r>
        <w:rPr>
          <w:rFonts w:ascii="Arial" w:hAnsi="Arial" w:cs="Arial"/>
        </w:rPr>
        <w:t>Brigade Headquarters</w:t>
      </w:r>
    </w:p>
    <w:p w:rsidR="00EB7C1A" w:rsidRDefault="00EB7C1A" w:rsidP="00BB001A">
      <w:pPr>
        <w:rPr>
          <w:rFonts w:ascii="Arial" w:hAnsi="Arial" w:cs="Arial"/>
        </w:rPr>
      </w:pPr>
      <w:r>
        <w:rPr>
          <w:rFonts w:ascii="Arial" w:hAnsi="Arial" w:cs="Arial"/>
        </w:rPr>
        <w:t>Shrewsbury SY1 2HJ</w:t>
      </w:r>
    </w:p>
    <w:p w:rsidR="00EB7C1A" w:rsidRDefault="00EB7C1A" w:rsidP="00BB001A">
      <w:pPr>
        <w:rPr>
          <w:rFonts w:ascii="Arial" w:hAnsi="Arial" w:cs="Arial"/>
        </w:rPr>
      </w:pPr>
    </w:p>
    <w:p w:rsidR="00EB7C1A" w:rsidRDefault="00EB7C1A" w:rsidP="00BB001A">
      <w:pPr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>
        <w:rPr>
          <w:rFonts w:ascii="Arial" w:hAnsi="Arial" w:cs="Arial"/>
        </w:rPr>
        <w:tab/>
        <w:t>01743 260200</w:t>
      </w:r>
    </w:p>
    <w:p w:rsidR="00EB7C1A" w:rsidRPr="00EB7C1A" w:rsidRDefault="00EB7C1A" w:rsidP="00BB001A">
      <w:pPr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funding@shropshirefire.gov.uk</w:t>
      </w:r>
    </w:p>
    <w:sectPr w:rsidR="00EB7C1A" w:rsidRPr="00EB7C1A" w:rsidSect="000A61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3BFB"/>
    <w:multiLevelType w:val="hybridMultilevel"/>
    <w:tmpl w:val="872A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67760"/>
    <w:multiLevelType w:val="hybridMultilevel"/>
    <w:tmpl w:val="C6427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D2E93"/>
    <w:multiLevelType w:val="hybridMultilevel"/>
    <w:tmpl w:val="F1E4385E"/>
    <w:lvl w:ilvl="0" w:tplc="A70270E8">
      <w:start w:val="1"/>
      <w:numFmt w:val="bullet"/>
      <w:lvlText w:val=""/>
      <w:lvlJc w:val="left"/>
      <w:pPr>
        <w:tabs>
          <w:tab w:val="num" w:pos="1758"/>
        </w:tabs>
        <w:ind w:left="170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98"/>
    <w:rsid w:val="00003C3E"/>
    <w:rsid w:val="00066010"/>
    <w:rsid w:val="000A61DE"/>
    <w:rsid w:val="000F1CC3"/>
    <w:rsid w:val="001B347A"/>
    <w:rsid w:val="001D149A"/>
    <w:rsid w:val="001E2396"/>
    <w:rsid w:val="00232332"/>
    <w:rsid w:val="00247045"/>
    <w:rsid w:val="002A6190"/>
    <w:rsid w:val="00324EF3"/>
    <w:rsid w:val="0033205E"/>
    <w:rsid w:val="003526A6"/>
    <w:rsid w:val="003D1E25"/>
    <w:rsid w:val="003D2CC4"/>
    <w:rsid w:val="003F1BC3"/>
    <w:rsid w:val="00442EFD"/>
    <w:rsid w:val="00490EDA"/>
    <w:rsid w:val="004C00BD"/>
    <w:rsid w:val="005A0C0A"/>
    <w:rsid w:val="005A2AC6"/>
    <w:rsid w:val="005A5153"/>
    <w:rsid w:val="005E3640"/>
    <w:rsid w:val="00660098"/>
    <w:rsid w:val="006D2F26"/>
    <w:rsid w:val="00746986"/>
    <w:rsid w:val="007632FA"/>
    <w:rsid w:val="00790EE7"/>
    <w:rsid w:val="008A1190"/>
    <w:rsid w:val="008A3F03"/>
    <w:rsid w:val="008A5DE3"/>
    <w:rsid w:val="008D652B"/>
    <w:rsid w:val="00922B40"/>
    <w:rsid w:val="009C06BA"/>
    <w:rsid w:val="009E2D77"/>
    <w:rsid w:val="00A04848"/>
    <w:rsid w:val="00A07AE3"/>
    <w:rsid w:val="00A3075A"/>
    <w:rsid w:val="00A46D0F"/>
    <w:rsid w:val="00A97B46"/>
    <w:rsid w:val="00AB5F2B"/>
    <w:rsid w:val="00B437AA"/>
    <w:rsid w:val="00B52421"/>
    <w:rsid w:val="00B61EC6"/>
    <w:rsid w:val="00B91FDE"/>
    <w:rsid w:val="00BB001A"/>
    <w:rsid w:val="00BB2156"/>
    <w:rsid w:val="00C23906"/>
    <w:rsid w:val="00C41ACD"/>
    <w:rsid w:val="00C655C6"/>
    <w:rsid w:val="00C66FB1"/>
    <w:rsid w:val="00C80ABB"/>
    <w:rsid w:val="00CF7D46"/>
    <w:rsid w:val="00D6049C"/>
    <w:rsid w:val="00D93C12"/>
    <w:rsid w:val="00DA737A"/>
    <w:rsid w:val="00DD52C2"/>
    <w:rsid w:val="00DE3BEF"/>
    <w:rsid w:val="00DF21B0"/>
    <w:rsid w:val="00DF653A"/>
    <w:rsid w:val="00E27821"/>
    <w:rsid w:val="00E80794"/>
    <w:rsid w:val="00E94463"/>
    <w:rsid w:val="00EB7C1A"/>
    <w:rsid w:val="00EC11FE"/>
    <w:rsid w:val="00EC2977"/>
    <w:rsid w:val="00ED1548"/>
    <w:rsid w:val="00EF67C9"/>
    <w:rsid w:val="00F02733"/>
    <w:rsid w:val="00F67F79"/>
    <w:rsid w:val="00F71165"/>
    <w:rsid w:val="00FA526C"/>
    <w:rsid w:val="00FB241A"/>
    <w:rsid w:val="00FB7D52"/>
    <w:rsid w:val="00FD291D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CA18D6-3B3E-4E6E-A983-01C0922F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6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D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EF6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67C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GB"/>
              <a:t>Total Budget</a:t>
            </a:r>
            <a:r>
              <a:rPr lang="en-GB" baseline="0"/>
              <a:t> £21.441m</a:t>
            </a:r>
            <a:endParaRPr lang="en-GB"/>
          </a:p>
        </c:rich>
      </c:tx>
      <c:layout>
        <c:manualLayout>
          <c:xMode val="edge"/>
          <c:yMode val="edge"/>
          <c:x val="0.63616619452313505"/>
          <c:y val="0.1267367608460707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7772020725388613"/>
          <c:y val="0.13851351351351346"/>
          <c:w val="0.44352331606217615"/>
          <c:h val="0.72297297297297303"/>
        </c:manualLayout>
      </c:layout>
      <c:pieChart>
        <c:varyColors val="1"/>
        <c:ser>
          <c:idx val="1"/>
          <c:order val="0"/>
          <c:spPr>
            <a:solidFill>
              <a:srgbClr val="993366"/>
            </a:solidFill>
            <a:ln w="1232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548010483756326E-2"/>
                  <c:y val="1.003093455045371E-2"/>
                </c:manualLayout>
              </c:layout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0333812521256492E-2"/>
                  <c:y val="8.8793840218916703E-2"/>
                </c:manualLayout>
              </c:layout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131979871934039"/>
                  <c:y val="2.4620840868282787E-2"/>
                </c:manualLayout>
              </c:layout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084942307295283"/>
                  <c:y val="-5.2286965565073097E-2"/>
                </c:manualLayout>
              </c:layout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1866643413556563"/>
                  <c:y val="-0.12680428923656384"/>
                </c:manualLayout>
              </c:layout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1127199945235666"/>
                  <c:y val="-8.4195174733606715E-2"/>
                </c:manualLayout>
              </c:layout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6869718474378605E-2"/>
                  <c:y val="-5.5625034303770672E-2"/>
                </c:manualLayout>
              </c:layout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65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6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'Data and chart narrative'!$A$2:$A$8</c:f>
              <c:strCache>
                <c:ptCount val="7"/>
                <c:pt idx="0">
                  <c:v>Firefighters Costs</c:v>
                </c:pt>
                <c:pt idx="1">
                  <c:v>Support Staff Costs</c:v>
                </c:pt>
                <c:pt idx="2">
                  <c:v>Fire Control</c:v>
                </c:pt>
                <c:pt idx="3">
                  <c:v>Training Costs</c:v>
                </c:pt>
                <c:pt idx="4">
                  <c:v>Operational Costs</c:v>
                </c:pt>
                <c:pt idx="5">
                  <c:v>Capital Programme Costs</c:v>
                </c:pt>
                <c:pt idx="6">
                  <c:v>Contribution to Reserves</c:v>
                </c:pt>
              </c:strCache>
            </c:strRef>
          </c:cat>
          <c:val>
            <c:numRef>
              <c:f>'Data and chart narrative'!$B$2:$B$8</c:f>
              <c:numCache>
                <c:formatCode>General</c:formatCode>
                <c:ptCount val="7"/>
                <c:pt idx="0">
                  <c:v>11446</c:v>
                </c:pt>
                <c:pt idx="1">
                  <c:v>2224</c:v>
                </c:pt>
                <c:pt idx="2">
                  <c:v>669</c:v>
                </c:pt>
                <c:pt idx="3">
                  <c:v>386</c:v>
                </c:pt>
                <c:pt idx="4">
                  <c:v>3916</c:v>
                </c:pt>
                <c:pt idx="5">
                  <c:v>1383</c:v>
                </c:pt>
                <c:pt idx="6">
                  <c:v>542</c:v>
                </c:pt>
              </c:numCache>
            </c:numRef>
          </c:val>
        </c:ser>
        <c:ser>
          <c:idx val="2"/>
          <c:order val="1"/>
          <c:spPr>
            <a:solidFill>
              <a:srgbClr val="FFFFCC"/>
            </a:solidFill>
            <a:ln w="1232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465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6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'Data and chart narrative'!$A$2:$A$8</c:f>
              <c:strCache>
                <c:ptCount val="7"/>
                <c:pt idx="0">
                  <c:v>Firefighters Costs</c:v>
                </c:pt>
                <c:pt idx="1">
                  <c:v>Support Staff Costs</c:v>
                </c:pt>
                <c:pt idx="2">
                  <c:v>Fire Control</c:v>
                </c:pt>
                <c:pt idx="3">
                  <c:v>Training Costs</c:v>
                </c:pt>
                <c:pt idx="4">
                  <c:v>Operational Costs</c:v>
                </c:pt>
                <c:pt idx="5">
                  <c:v>Capital Programme Costs</c:v>
                </c:pt>
                <c:pt idx="6">
                  <c:v>Contribution to Reserves</c:v>
                </c:pt>
              </c:strCache>
            </c:strRef>
          </c:cat>
          <c:val>
            <c:numRef>
              <c:f>'Data and chart narrative'!$C$2:$C$8</c:f>
              <c:numCache>
                <c:formatCode>General</c:formatCode>
                <c:ptCount val="7"/>
                <c:pt idx="0">
                  <c:v>486.98093941456779</c:v>
                </c:pt>
                <c:pt idx="1">
                  <c:v>94.62219196732471</c:v>
                </c:pt>
                <c:pt idx="2">
                  <c:v>28.463240299523488</c:v>
                </c:pt>
                <c:pt idx="3">
                  <c:v>16.422736555479919</c:v>
                </c:pt>
                <c:pt idx="4">
                  <c:v>166.60993873383254</c:v>
                </c:pt>
                <c:pt idx="5">
                  <c:v>58.841048332198774</c:v>
                </c:pt>
                <c:pt idx="6">
                  <c:v>23.059904697072838</c:v>
                </c:pt>
              </c:numCache>
            </c:numRef>
          </c:val>
        </c:ser>
        <c:ser>
          <c:idx val="0"/>
          <c:order val="2"/>
          <c:spPr>
            <a:solidFill>
              <a:srgbClr val="9999FF"/>
            </a:solidFill>
            <a:ln w="12326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326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 w="24652">
                  <a:noFill/>
                </a:ln>
              </c:spPr>
              <c:txPr>
                <a:bodyPr/>
                <a:lstStyle/>
                <a:p>
                  <a:pPr>
                    <a:defRPr sz="116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65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6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'Data and chart narrative'!$A$2:$A$8</c:f>
              <c:strCache>
                <c:ptCount val="7"/>
                <c:pt idx="0">
                  <c:v>Firefighters Costs</c:v>
                </c:pt>
                <c:pt idx="1">
                  <c:v>Support Staff Costs</c:v>
                </c:pt>
                <c:pt idx="2">
                  <c:v>Fire Control</c:v>
                </c:pt>
                <c:pt idx="3">
                  <c:v>Training Costs</c:v>
                </c:pt>
                <c:pt idx="4">
                  <c:v>Operational Costs</c:v>
                </c:pt>
                <c:pt idx="5">
                  <c:v>Capital Programme Costs</c:v>
                </c:pt>
                <c:pt idx="6">
                  <c:v>Contribution to Reserves</c:v>
                </c:pt>
              </c:strCache>
            </c:strRef>
          </c:cat>
          <c:val>
            <c:numRef>
              <c:f>'Data and chart narrative'!$D$2:$D$8</c:f>
              <c:numCache>
                <c:formatCode>General</c:formatCode>
                <c:ptCount val="7"/>
                <c:pt idx="0">
                  <c:v>11932.980939414569</c:v>
                </c:pt>
                <c:pt idx="1">
                  <c:v>2318.6221919673249</c:v>
                </c:pt>
                <c:pt idx="2">
                  <c:v>697.46324029952348</c:v>
                </c:pt>
                <c:pt idx="3">
                  <c:v>402.4227365554799</c:v>
                </c:pt>
                <c:pt idx="4">
                  <c:v>4082.6099387338327</c:v>
                </c:pt>
                <c:pt idx="5">
                  <c:v>1441.8410483321989</c:v>
                </c:pt>
                <c:pt idx="6">
                  <c:v>565.05990469707285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4652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6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33B1-FA1A-4D2D-99F1-E80628BA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2011/12</vt:lpstr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2011/12</dc:title>
  <dc:subject/>
  <dc:creator>sycoadjo</dc:creator>
  <cp:keywords/>
  <cp:lastModifiedBy>Ian Russell</cp:lastModifiedBy>
  <cp:revision>2</cp:revision>
  <cp:lastPrinted>2014-02-27T14:38:00Z</cp:lastPrinted>
  <dcterms:created xsi:type="dcterms:W3CDTF">2015-03-02T13:42:00Z</dcterms:created>
  <dcterms:modified xsi:type="dcterms:W3CDTF">2015-03-02T13:42:00Z</dcterms:modified>
</cp:coreProperties>
</file>