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33330001" w:rsidR="0025694D" w:rsidRDefault="00A60414">
      <w:pPr>
        <w:rPr>
          <w:rFonts w:ascii="Arial" w:hAnsi="Arial" w:cs="Arial"/>
          <w:b/>
          <w:sz w:val="28"/>
          <w:szCs w:val="28"/>
        </w:rPr>
      </w:pPr>
      <w:r>
        <w:rPr>
          <w:rFonts w:ascii="Arial" w:hAnsi="Arial" w:cs="Arial"/>
          <w:b/>
          <w:sz w:val="28"/>
          <w:szCs w:val="28"/>
        </w:rPr>
        <w:t>Shropshire and Wrekin Fire Authority</w:t>
      </w:r>
    </w:p>
    <w:p w14:paraId="6447D7E9" w14:textId="3F395832" w:rsidR="00A60414" w:rsidRDefault="00A60414">
      <w:pPr>
        <w:rPr>
          <w:rFonts w:ascii="Arial" w:hAnsi="Arial" w:cs="Arial"/>
          <w:b/>
          <w:sz w:val="28"/>
          <w:szCs w:val="28"/>
        </w:rPr>
      </w:pPr>
      <w:r>
        <w:rPr>
          <w:rFonts w:ascii="Arial" w:hAnsi="Arial" w:cs="Arial"/>
          <w:b/>
          <w:sz w:val="28"/>
          <w:szCs w:val="28"/>
        </w:rPr>
        <w:t>Medium Term Financial Planning</w:t>
      </w:r>
    </w:p>
    <w:p w14:paraId="6EF4C513" w14:textId="77777777" w:rsidR="00A60414" w:rsidRPr="00A60414" w:rsidRDefault="00A60414">
      <w:pPr>
        <w:rPr>
          <w:rFonts w:ascii="Arial" w:hAnsi="Arial" w:cs="Arial"/>
          <w:b/>
          <w:sz w:val="28"/>
          <w:szCs w:val="28"/>
        </w:rPr>
      </w:pPr>
    </w:p>
    <w:p w14:paraId="38F1D74E" w14:textId="41FA0C94" w:rsidR="00A2789C" w:rsidRPr="006122B0" w:rsidRDefault="00B21E59">
      <w:pPr>
        <w:rPr>
          <w:rFonts w:ascii="Arial" w:hAnsi="Arial" w:cs="Arial"/>
          <w:b/>
          <w:sz w:val="24"/>
          <w:szCs w:val="24"/>
        </w:rPr>
      </w:pPr>
      <w:r w:rsidRPr="006122B0">
        <w:rPr>
          <w:rFonts w:ascii="Arial" w:hAnsi="Arial" w:cs="Arial"/>
          <w:b/>
          <w:sz w:val="24"/>
          <w:szCs w:val="24"/>
        </w:rPr>
        <w:t>Context</w:t>
      </w:r>
    </w:p>
    <w:p w14:paraId="0E8CAA38" w14:textId="5C53BF6A" w:rsidR="00A2789C" w:rsidRPr="006122B0" w:rsidRDefault="00A2789C" w:rsidP="00A2789C">
      <w:pPr>
        <w:rPr>
          <w:rFonts w:ascii="Arial" w:hAnsi="Arial" w:cs="Arial"/>
          <w:sz w:val="24"/>
          <w:szCs w:val="24"/>
        </w:rPr>
      </w:pPr>
      <w:r w:rsidRPr="006122B0">
        <w:rPr>
          <w:rFonts w:ascii="Arial" w:hAnsi="Arial" w:cs="Arial"/>
          <w:sz w:val="24"/>
          <w:szCs w:val="24"/>
        </w:rPr>
        <w:t xml:space="preserve">The Fire Authority has been successful over the last </w:t>
      </w:r>
      <w:r w:rsidR="00B21E59" w:rsidRPr="006122B0">
        <w:rPr>
          <w:rFonts w:ascii="Arial" w:hAnsi="Arial" w:cs="Arial"/>
          <w:sz w:val="24"/>
          <w:szCs w:val="24"/>
        </w:rPr>
        <w:t>eight</w:t>
      </w:r>
      <w:r w:rsidRPr="006122B0">
        <w:rPr>
          <w:rFonts w:ascii="Arial" w:hAnsi="Arial" w:cs="Arial"/>
          <w:sz w:val="24"/>
          <w:szCs w:val="24"/>
        </w:rPr>
        <w:t xml:space="preserve"> years, during a period of major public spending cuts, in identifying and implementing revenue budget reductions. </w:t>
      </w:r>
      <w:r w:rsidR="00B77AE6">
        <w:rPr>
          <w:rFonts w:ascii="Arial" w:hAnsi="Arial" w:cs="Arial"/>
          <w:sz w:val="24"/>
          <w:szCs w:val="24"/>
        </w:rPr>
        <w:t>Effective financial</w:t>
      </w:r>
      <w:r w:rsidRPr="006122B0">
        <w:rPr>
          <w:rFonts w:ascii="Arial" w:hAnsi="Arial" w:cs="Arial"/>
          <w:sz w:val="24"/>
          <w:szCs w:val="24"/>
        </w:rPr>
        <w:t xml:space="preserve"> planning has successfully combined revenue budget cuts, a long term precept strategy, and effective use of reserves and surplus funds to avoid borrowing costs for future tax payers.</w:t>
      </w:r>
    </w:p>
    <w:p w14:paraId="1810F619" w14:textId="0F68193C" w:rsidR="00B21E59" w:rsidRPr="006122B0" w:rsidRDefault="00B21E59" w:rsidP="00B21E59">
      <w:pPr>
        <w:rPr>
          <w:rFonts w:ascii="Arial" w:hAnsi="Arial" w:cs="Arial"/>
          <w:sz w:val="24"/>
          <w:szCs w:val="24"/>
        </w:rPr>
      </w:pPr>
      <w:r w:rsidRPr="006122B0">
        <w:rPr>
          <w:rFonts w:ascii="Arial" w:hAnsi="Arial" w:cs="Arial"/>
          <w:sz w:val="24"/>
          <w:szCs w:val="24"/>
        </w:rPr>
        <w:t xml:space="preserve">It is important to recognise how the Authority’s strategic planning and change programme over the last </w:t>
      </w:r>
      <w:r w:rsidR="00F437A3" w:rsidRPr="006122B0">
        <w:rPr>
          <w:rFonts w:ascii="Arial" w:hAnsi="Arial" w:cs="Arial"/>
          <w:sz w:val="24"/>
          <w:szCs w:val="24"/>
        </w:rPr>
        <w:t>eight</w:t>
      </w:r>
      <w:r w:rsidRPr="006122B0">
        <w:rPr>
          <w:rFonts w:ascii="Arial" w:hAnsi="Arial" w:cs="Arial"/>
          <w:sz w:val="24"/>
          <w:szCs w:val="24"/>
        </w:rPr>
        <w:t xml:space="preserve"> years has contributed to its current financial position, and how crucial its ability to produce timely and meaningful forecasts will be in future planning cycles. </w:t>
      </w:r>
    </w:p>
    <w:p w14:paraId="5DBDE7A2" w14:textId="05955DEB" w:rsidR="00B21E59" w:rsidRPr="006122B0" w:rsidRDefault="00B21E59" w:rsidP="00B21E59">
      <w:pPr>
        <w:rPr>
          <w:rFonts w:ascii="Arial" w:hAnsi="Arial" w:cs="Arial"/>
          <w:sz w:val="24"/>
          <w:szCs w:val="24"/>
        </w:rPr>
      </w:pPr>
      <w:r w:rsidRPr="006122B0">
        <w:rPr>
          <w:rFonts w:ascii="Arial" w:hAnsi="Arial" w:cs="Arial"/>
          <w:sz w:val="24"/>
          <w:szCs w:val="24"/>
        </w:rPr>
        <w:t xml:space="preserve">Shropshire and Wrekin Fire Authority </w:t>
      </w:r>
      <w:r w:rsidR="00B77AE6">
        <w:rPr>
          <w:rFonts w:ascii="Arial" w:hAnsi="Arial" w:cs="Arial"/>
          <w:sz w:val="24"/>
          <w:szCs w:val="24"/>
        </w:rPr>
        <w:t xml:space="preserve">suffered large reductions </w:t>
      </w:r>
      <w:r w:rsidR="007C0699">
        <w:rPr>
          <w:rFonts w:ascii="Arial" w:hAnsi="Arial" w:cs="Arial"/>
          <w:sz w:val="24"/>
          <w:szCs w:val="24"/>
        </w:rPr>
        <w:t>in</w:t>
      </w:r>
      <w:r w:rsidR="00B77AE6">
        <w:rPr>
          <w:rFonts w:ascii="Arial" w:hAnsi="Arial" w:cs="Arial"/>
          <w:sz w:val="24"/>
          <w:szCs w:val="24"/>
        </w:rPr>
        <w:t xml:space="preserve"> its grant income</w:t>
      </w:r>
      <w:r w:rsidRPr="006122B0">
        <w:rPr>
          <w:rFonts w:ascii="Arial" w:hAnsi="Arial" w:cs="Arial"/>
          <w:sz w:val="24"/>
          <w:szCs w:val="24"/>
        </w:rPr>
        <w:t xml:space="preserve"> in the previous Spending Review and subsequent Finance Settlement. A change in risk factors within its needs assessment led to grant reductions of 9.5% in 2011/12 and 3.4% in 2012/13, the highest percentage reduction over these two years. The Authority realised that major budget reductions were crucial to ensure that service delivery to the public of Shropshire did not suffer, and embarked upon a major consultation and cost cutting exercise</w:t>
      </w:r>
      <w:r w:rsidR="00B77AE6">
        <w:rPr>
          <w:rFonts w:ascii="Arial" w:hAnsi="Arial" w:cs="Arial"/>
          <w:sz w:val="24"/>
          <w:szCs w:val="24"/>
        </w:rPr>
        <w:t>, which was named Pu</w:t>
      </w:r>
      <w:r w:rsidRPr="006122B0">
        <w:rPr>
          <w:rFonts w:ascii="Arial" w:hAnsi="Arial" w:cs="Arial"/>
          <w:sz w:val="24"/>
          <w:szCs w:val="24"/>
        </w:rPr>
        <w:t>blic Value. This exercise involved staff from every station and every department throughout the county. Staff and members worked side by side to identify where budget reductions could be made.</w:t>
      </w:r>
    </w:p>
    <w:p w14:paraId="596C27CA" w14:textId="6CD36747" w:rsidR="00B21E59" w:rsidRPr="006122B0" w:rsidRDefault="00B21E59" w:rsidP="00B21E59">
      <w:pPr>
        <w:rPr>
          <w:rFonts w:ascii="Arial" w:hAnsi="Arial" w:cs="Arial"/>
          <w:sz w:val="24"/>
          <w:szCs w:val="24"/>
        </w:rPr>
      </w:pPr>
      <w:r w:rsidRPr="006122B0">
        <w:rPr>
          <w:rFonts w:ascii="Arial" w:hAnsi="Arial" w:cs="Arial"/>
          <w:sz w:val="24"/>
          <w:szCs w:val="24"/>
        </w:rPr>
        <w:t xml:space="preserve">This programme of reductions began in 2011/12 and over the four year Spending Review period, over £3million was cut from </w:t>
      </w:r>
      <w:r w:rsidR="00B77AE6">
        <w:rPr>
          <w:rFonts w:ascii="Arial" w:hAnsi="Arial" w:cs="Arial"/>
          <w:sz w:val="24"/>
          <w:szCs w:val="24"/>
        </w:rPr>
        <w:t xml:space="preserve">a revenue budget of </w:t>
      </w:r>
      <w:r w:rsidR="005C6831">
        <w:rPr>
          <w:rFonts w:ascii="Arial" w:hAnsi="Arial" w:cs="Arial"/>
          <w:sz w:val="24"/>
          <w:szCs w:val="24"/>
        </w:rPr>
        <w:t>£21million.</w:t>
      </w:r>
    </w:p>
    <w:p w14:paraId="23130B76" w14:textId="656BEF64" w:rsidR="00B21E59" w:rsidRPr="006122B0" w:rsidRDefault="00B21E59" w:rsidP="00B21E59">
      <w:pPr>
        <w:rPr>
          <w:rFonts w:ascii="Arial" w:hAnsi="Arial" w:cs="Arial"/>
          <w:sz w:val="24"/>
          <w:szCs w:val="24"/>
        </w:rPr>
      </w:pPr>
      <w:r w:rsidRPr="006122B0">
        <w:rPr>
          <w:rFonts w:ascii="Arial" w:hAnsi="Arial" w:cs="Arial"/>
          <w:sz w:val="24"/>
          <w:szCs w:val="24"/>
        </w:rPr>
        <w:t>Throughout this four year period</w:t>
      </w:r>
      <w:r w:rsidR="00046F0A">
        <w:rPr>
          <w:rFonts w:ascii="Arial" w:hAnsi="Arial" w:cs="Arial"/>
          <w:sz w:val="24"/>
          <w:szCs w:val="24"/>
        </w:rPr>
        <w:t xml:space="preserve"> of cost cutting</w:t>
      </w:r>
      <w:r w:rsidRPr="006122B0">
        <w:rPr>
          <w:rFonts w:ascii="Arial" w:hAnsi="Arial" w:cs="Arial"/>
          <w:sz w:val="24"/>
          <w:szCs w:val="24"/>
        </w:rPr>
        <w:t xml:space="preserve">, the employee retirement profile was used to identify the most opportune time to remove posts from the establishment. During the process these posts were </w:t>
      </w:r>
      <w:r w:rsidR="00046F0A">
        <w:rPr>
          <w:rFonts w:ascii="Arial" w:hAnsi="Arial" w:cs="Arial"/>
          <w:sz w:val="24"/>
          <w:szCs w:val="24"/>
        </w:rPr>
        <w:t xml:space="preserve">at </w:t>
      </w:r>
      <w:r w:rsidRPr="006122B0">
        <w:rPr>
          <w:rFonts w:ascii="Arial" w:hAnsi="Arial" w:cs="Arial"/>
          <w:sz w:val="24"/>
          <w:szCs w:val="24"/>
        </w:rPr>
        <w:t xml:space="preserve">times removed before the budget reduction was required, avoiding future redundancy costs </w:t>
      </w:r>
      <w:r w:rsidR="00046F0A">
        <w:rPr>
          <w:rFonts w:ascii="Arial" w:hAnsi="Arial" w:cs="Arial"/>
          <w:sz w:val="24"/>
          <w:szCs w:val="24"/>
        </w:rPr>
        <w:t xml:space="preserve">and </w:t>
      </w:r>
      <w:r w:rsidR="007C0699">
        <w:rPr>
          <w:rFonts w:ascii="Arial" w:hAnsi="Arial" w:cs="Arial"/>
          <w:sz w:val="24"/>
          <w:szCs w:val="24"/>
        </w:rPr>
        <w:t xml:space="preserve">the </w:t>
      </w:r>
      <w:r w:rsidR="00046F0A">
        <w:rPr>
          <w:rFonts w:ascii="Arial" w:hAnsi="Arial" w:cs="Arial"/>
          <w:sz w:val="24"/>
          <w:szCs w:val="24"/>
        </w:rPr>
        <w:t xml:space="preserve">detrimental impact on staff, </w:t>
      </w:r>
      <w:r w:rsidRPr="006122B0">
        <w:rPr>
          <w:rFonts w:ascii="Arial" w:hAnsi="Arial" w:cs="Arial"/>
          <w:sz w:val="24"/>
          <w:szCs w:val="24"/>
        </w:rPr>
        <w:t>but resulting in a surplus on the revenue budget. This surplus was used to fund capital schemes, for example the replacement of fire appliances and specialist vehicles, and investment in IT infrastructure and training facilities</w:t>
      </w:r>
      <w:r w:rsidR="00046F0A">
        <w:rPr>
          <w:rFonts w:ascii="Arial" w:hAnsi="Arial" w:cs="Arial"/>
          <w:sz w:val="24"/>
          <w:szCs w:val="24"/>
        </w:rPr>
        <w:t xml:space="preserve"> and f</w:t>
      </w:r>
      <w:r w:rsidRPr="006122B0">
        <w:rPr>
          <w:rFonts w:ascii="Arial" w:hAnsi="Arial" w:cs="Arial"/>
          <w:sz w:val="24"/>
          <w:szCs w:val="24"/>
        </w:rPr>
        <w:t>unds were also added to reserves to support future revenue reductions, in areas such as operational equipment, training and pensions.</w:t>
      </w:r>
    </w:p>
    <w:p w14:paraId="76F396E7" w14:textId="74DA721C" w:rsidR="000F1D05" w:rsidRPr="006122B0" w:rsidRDefault="000F1D05" w:rsidP="00B21E59">
      <w:pPr>
        <w:rPr>
          <w:rFonts w:ascii="Arial" w:hAnsi="Arial" w:cs="Arial"/>
          <w:sz w:val="24"/>
          <w:szCs w:val="24"/>
        </w:rPr>
      </w:pPr>
    </w:p>
    <w:p w14:paraId="7F979274" w14:textId="6B941584" w:rsidR="000F1D05" w:rsidRPr="006122B0" w:rsidRDefault="000F1D05" w:rsidP="00B21E59">
      <w:pPr>
        <w:rPr>
          <w:rFonts w:ascii="Arial" w:hAnsi="Arial" w:cs="Arial"/>
          <w:sz w:val="24"/>
          <w:szCs w:val="24"/>
        </w:rPr>
      </w:pPr>
    </w:p>
    <w:p w14:paraId="1BA11B97" w14:textId="3A4957B1" w:rsidR="004C090A" w:rsidRPr="006122B0" w:rsidRDefault="005A0BF8" w:rsidP="004C090A">
      <w:pPr>
        <w:rPr>
          <w:rFonts w:ascii="Arial" w:hAnsi="Arial" w:cs="Arial"/>
          <w:b/>
          <w:sz w:val="24"/>
          <w:szCs w:val="24"/>
        </w:rPr>
      </w:pPr>
      <w:r>
        <w:rPr>
          <w:noProof/>
          <w:lang w:val="en-GB" w:eastAsia="en-GB"/>
        </w:rPr>
        <w:lastRenderedPageBreak/>
        <w:drawing>
          <wp:inline distT="0" distB="0" distL="0" distR="0" wp14:anchorId="2AB5FD77" wp14:editId="4CD0A7C2">
            <wp:extent cx="5943600" cy="297561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BBBB7D" w14:textId="3BCA5628" w:rsidR="004C090A" w:rsidRPr="006122B0" w:rsidRDefault="004C090A" w:rsidP="00B21E59">
      <w:pPr>
        <w:rPr>
          <w:rFonts w:ascii="Arial" w:hAnsi="Arial" w:cs="Arial"/>
          <w:sz w:val="24"/>
          <w:szCs w:val="24"/>
        </w:rPr>
      </w:pPr>
      <w:r w:rsidRPr="006122B0">
        <w:rPr>
          <w:rFonts w:ascii="Arial" w:hAnsi="Arial" w:cs="Arial"/>
          <w:sz w:val="24"/>
          <w:szCs w:val="24"/>
        </w:rPr>
        <w:t xml:space="preserve">The Authority also took the opportunity to use some of the surplus to prepare the Service for the worsening financial position of the economy, and introduced the Service Transformation Programme (STP). The STP was a high level programme of activities, reviews and projects established in 2012/13, to ensure that the Service was best placed to meet the challenges it faced in the coming years. These included process re-engineering and deployment of technical solutions to </w:t>
      </w:r>
      <w:r w:rsidR="008F0955">
        <w:rPr>
          <w:rFonts w:ascii="Arial" w:hAnsi="Arial" w:cs="Arial"/>
          <w:sz w:val="24"/>
          <w:szCs w:val="24"/>
        </w:rPr>
        <w:t xml:space="preserve">reduce </w:t>
      </w:r>
      <w:r w:rsidRPr="006122B0">
        <w:rPr>
          <w:rFonts w:ascii="Arial" w:hAnsi="Arial" w:cs="Arial"/>
          <w:sz w:val="24"/>
          <w:szCs w:val="24"/>
        </w:rPr>
        <w:t>the burden attached to some processes.</w:t>
      </w:r>
    </w:p>
    <w:p w14:paraId="48320294" w14:textId="77777777" w:rsidR="00B21E59" w:rsidRPr="006122B0" w:rsidRDefault="00B21E59" w:rsidP="00B21E59">
      <w:pPr>
        <w:rPr>
          <w:rFonts w:ascii="Arial" w:hAnsi="Arial" w:cs="Arial"/>
          <w:b/>
          <w:sz w:val="24"/>
          <w:szCs w:val="24"/>
        </w:rPr>
      </w:pPr>
      <w:r w:rsidRPr="006122B0">
        <w:rPr>
          <w:rFonts w:ascii="Arial" w:hAnsi="Arial" w:cs="Arial"/>
          <w:b/>
          <w:sz w:val="24"/>
          <w:szCs w:val="24"/>
        </w:rPr>
        <w:t>The next stage</w:t>
      </w:r>
    </w:p>
    <w:p w14:paraId="65AF6AE6" w14:textId="77777777" w:rsidR="004C090A" w:rsidRPr="006122B0" w:rsidRDefault="00B21E59" w:rsidP="00B21E59">
      <w:pPr>
        <w:rPr>
          <w:rFonts w:ascii="Arial" w:hAnsi="Arial" w:cs="Arial"/>
          <w:sz w:val="24"/>
          <w:szCs w:val="24"/>
        </w:rPr>
      </w:pPr>
      <w:r w:rsidRPr="006122B0">
        <w:rPr>
          <w:rFonts w:ascii="Arial" w:hAnsi="Arial" w:cs="Arial"/>
          <w:sz w:val="24"/>
          <w:szCs w:val="24"/>
        </w:rPr>
        <w:t>Despite the reductions to the Authority's revenue budget and a direction from members to increase council tax by just below the referendum spending limit, long term forecasts still predicted a deficit by the end of the planning period. Therefore the Authority was required to identify further savings in order to meet the deficit and protect the Service.</w:t>
      </w:r>
    </w:p>
    <w:p w14:paraId="40CADE52" w14:textId="15A4F929" w:rsidR="00B21E59" w:rsidRPr="006122B0" w:rsidRDefault="00B21E59" w:rsidP="00B21E59">
      <w:pPr>
        <w:rPr>
          <w:rFonts w:ascii="Arial" w:hAnsi="Arial" w:cs="Arial"/>
          <w:sz w:val="24"/>
          <w:szCs w:val="24"/>
        </w:rPr>
      </w:pPr>
      <w:r w:rsidRPr="006122B0">
        <w:rPr>
          <w:rFonts w:ascii="Arial" w:hAnsi="Arial" w:cs="Arial"/>
          <w:sz w:val="24"/>
          <w:szCs w:val="24"/>
        </w:rPr>
        <w:t>A further consultation was undertaken as part of the Integrated Risk Management Plan (IRMP) to review possible reductions over the next Spending Review period to 2019/20.</w:t>
      </w:r>
    </w:p>
    <w:p w14:paraId="41BFBE9D" w14:textId="77777777" w:rsidR="00B21E59" w:rsidRPr="006122B0" w:rsidRDefault="00B21E59" w:rsidP="00B21E59">
      <w:pPr>
        <w:rPr>
          <w:rFonts w:ascii="Arial" w:hAnsi="Arial" w:cs="Arial"/>
          <w:sz w:val="24"/>
          <w:szCs w:val="24"/>
        </w:rPr>
      </w:pPr>
      <w:r w:rsidRPr="006122B0">
        <w:rPr>
          <w:rFonts w:ascii="Arial" w:hAnsi="Arial" w:cs="Arial"/>
          <w:sz w:val="24"/>
          <w:szCs w:val="24"/>
        </w:rPr>
        <w:t>It was possible for some of the savings identified to be realised in the revenue budget in the earlier years, and as a result, a further £300k was saved in 2015/16.</w:t>
      </w:r>
    </w:p>
    <w:p w14:paraId="74006A2B" w14:textId="73715B3F" w:rsidR="00B21E59" w:rsidRDefault="00B21E59" w:rsidP="00B21E59">
      <w:pPr>
        <w:rPr>
          <w:rFonts w:ascii="Arial" w:hAnsi="Arial" w:cs="Arial"/>
          <w:sz w:val="24"/>
          <w:szCs w:val="24"/>
        </w:rPr>
      </w:pPr>
      <w:r w:rsidRPr="006122B0">
        <w:rPr>
          <w:rFonts w:ascii="Arial" w:hAnsi="Arial" w:cs="Arial"/>
          <w:sz w:val="24"/>
          <w:szCs w:val="24"/>
        </w:rPr>
        <w:t xml:space="preserve">The main projects from the IRMP review involved the development and implementation of major changes to shift patterns and working practices on operational watches and in Fire Control. These two projects have required extensive consultation and negotiation, and savings of around £450k </w:t>
      </w:r>
      <w:r w:rsidR="00F437A3" w:rsidRPr="006122B0">
        <w:rPr>
          <w:rFonts w:ascii="Arial" w:hAnsi="Arial" w:cs="Arial"/>
          <w:sz w:val="24"/>
          <w:szCs w:val="24"/>
        </w:rPr>
        <w:t xml:space="preserve">will have been achieved by </w:t>
      </w:r>
      <w:r w:rsidR="0071584C" w:rsidRPr="006122B0">
        <w:rPr>
          <w:rFonts w:ascii="Arial" w:hAnsi="Arial" w:cs="Arial"/>
          <w:sz w:val="24"/>
          <w:szCs w:val="24"/>
        </w:rPr>
        <w:t>2020.</w:t>
      </w:r>
      <w:r w:rsidR="008F0955">
        <w:rPr>
          <w:rFonts w:ascii="Arial" w:hAnsi="Arial" w:cs="Arial"/>
          <w:sz w:val="24"/>
          <w:szCs w:val="24"/>
        </w:rPr>
        <w:t xml:space="preserve"> As this change comes into effect the additional capacity is being used to support change management.</w:t>
      </w:r>
    </w:p>
    <w:p w14:paraId="6A7720A8" w14:textId="77777777" w:rsidR="008F0955" w:rsidRDefault="008F0955">
      <w:pPr>
        <w:rPr>
          <w:rFonts w:ascii="Arial" w:hAnsi="Arial" w:cs="Arial"/>
          <w:sz w:val="24"/>
          <w:szCs w:val="24"/>
        </w:rPr>
      </w:pPr>
      <w:r>
        <w:rPr>
          <w:rFonts w:ascii="Arial" w:hAnsi="Arial" w:cs="Arial"/>
          <w:sz w:val="24"/>
          <w:szCs w:val="24"/>
        </w:rPr>
        <w:br w:type="page"/>
      </w:r>
    </w:p>
    <w:p w14:paraId="662D5060" w14:textId="15F4C6B1" w:rsidR="008F0955" w:rsidRPr="006122B0" w:rsidRDefault="008F0955" w:rsidP="00B21E59">
      <w:pPr>
        <w:rPr>
          <w:rFonts w:ascii="Arial" w:hAnsi="Arial" w:cs="Arial"/>
          <w:sz w:val="24"/>
          <w:szCs w:val="24"/>
        </w:rPr>
      </w:pPr>
    </w:p>
    <w:p w14:paraId="4EF5EB5B" w14:textId="77777777" w:rsidR="00B21E59" w:rsidRPr="006122B0" w:rsidRDefault="00B21E59" w:rsidP="00B21E59">
      <w:pPr>
        <w:rPr>
          <w:rFonts w:ascii="Arial" w:hAnsi="Arial" w:cs="Arial"/>
          <w:b/>
          <w:sz w:val="24"/>
          <w:szCs w:val="24"/>
        </w:rPr>
      </w:pPr>
      <w:r w:rsidRPr="006122B0">
        <w:rPr>
          <w:rFonts w:ascii="Arial" w:hAnsi="Arial" w:cs="Arial"/>
          <w:b/>
          <w:sz w:val="24"/>
          <w:szCs w:val="24"/>
        </w:rPr>
        <w:t>The current position</w:t>
      </w:r>
    </w:p>
    <w:p w14:paraId="4B52E616" w14:textId="77777777" w:rsidR="00B21E59" w:rsidRPr="006122B0" w:rsidRDefault="00B21E59" w:rsidP="00B21E59">
      <w:pPr>
        <w:rPr>
          <w:rFonts w:ascii="Arial" w:hAnsi="Arial" w:cs="Arial"/>
          <w:sz w:val="24"/>
          <w:szCs w:val="24"/>
        </w:rPr>
      </w:pPr>
      <w:r w:rsidRPr="006122B0">
        <w:rPr>
          <w:rFonts w:ascii="Arial" w:hAnsi="Arial" w:cs="Arial"/>
          <w:sz w:val="24"/>
          <w:szCs w:val="24"/>
        </w:rPr>
        <w:t>Meanwhile, work has continued on the projects and activities within the Service Transformation Programme, with the majority of the projects modernising and strengthening the Service’s IT infrastructure and systems. The focus has very much been on improving the systems available to staff, both operational and support, and introducing new ways of working across the organisation. These improvements have begun to generate non cashable efficiencies in terms of officer hours and days being reinvested into more effective working practices. The Service has recognised that these non cashable efficiencies have the potential to translate into real staff savings over the coming years.</w:t>
      </w:r>
    </w:p>
    <w:p w14:paraId="4651C6A3" w14:textId="1627EDB0" w:rsidR="00B21E59" w:rsidRPr="006122B0" w:rsidRDefault="00B21E59" w:rsidP="00B21E59">
      <w:pPr>
        <w:rPr>
          <w:rFonts w:ascii="Arial" w:hAnsi="Arial" w:cs="Arial"/>
          <w:sz w:val="24"/>
          <w:szCs w:val="24"/>
        </w:rPr>
      </w:pPr>
      <w:r w:rsidRPr="006122B0">
        <w:rPr>
          <w:rFonts w:ascii="Arial" w:hAnsi="Arial" w:cs="Arial"/>
          <w:sz w:val="24"/>
          <w:szCs w:val="24"/>
        </w:rPr>
        <w:t>The work undertaken by officers of the Service and members of the Authority has contributed to its current stable position. A long term view has been taken of the financial position of the Authority and this has influenced current decision making. In terms of strategy, the Authority directed officers to model precept increases of 0.5% for the three years to 2019/20</w:t>
      </w:r>
      <w:r w:rsidR="00F437A3" w:rsidRPr="006122B0">
        <w:rPr>
          <w:rFonts w:ascii="Arial" w:hAnsi="Arial" w:cs="Arial"/>
          <w:sz w:val="24"/>
          <w:szCs w:val="24"/>
        </w:rPr>
        <w:t>. Announcements on firefighter pay awards introduced more cost pres</w:t>
      </w:r>
      <w:r w:rsidR="0071584C" w:rsidRPr="006122B0">
        <w:rPr>
          <w:rFonts w:ascii="Arial" w:hAnsi="Arial" w:cs="Arial"/>
          <w:sz w:val="24"/>
          <w:szCs w:val="24"/>
        </w:rPr>
        <w:t>s</w:t>
      </w:r>
      <w:r w:rsidR="00F437A3" w:rsidRPr="006122B0">
        <w:rPr>
          <w:rFonts w:ascii="Arial" w:hAnsi="Arial" w:cs="Arial"/>
          <w:sz w:val="24"/>
          <w:szCs w:val="24"/>
        </w:rPr>
        <w:t xml:space="preserve">ure, however this was accommodated </w:t>
      </w:r>
      <w:r w:rsidR="0071584C" w:rsidRPr="006122B0">
        <w:rPr>
          <w:rFonts w:ascii="Arial" w:hAnsi="Arial" w:cs="Arial"/>
          <w:sz w:val="24"/>
          <w:szCs w:val="24"/>
        </w:rPr>
        <w:t xml:space="preserve">by increasing precept increases but remaining within </w:t>
      </w:r>
      <w:r w:rsidR="00F437A3" w:rsidRPr="006122B0">
        <w:rPr>
          <w:rFonts w:ascii="Arial" w:hAnsi="Arial" w:cs="Arial"/>
          <w:sz w:val="24"/>
          <w:szCs w:val="24"/>
        </w:rPr>
        <w:t xml:space="preserve">referendum limits.   </w:t>
      </w:r>
    </w:p>
    <w:p w14:paraId="29B6FD06" w14:textId="7AC7194A" w:rsidR="00A2789C" w:rsidRPr="006122B0" w:rsidRDefault="00B21E59" w:rsidP="00A2789C">
      <w:pPr>
        <w:rPr>
          <w:rFonts w:ascii="Arial" w:hAnsi="Arial" w:cs="Arial"/>
          <w:sz w:val="24"/>
          <w:szCs w:val="24"/>
        </w:rPr>
      </w:pPr>
      <w:r w:rsidRPr="006122B0">
        <w:rPr>
          <w:rFonts w:ascii="Arial" w:hAnsi="Arial" w:cs="Arial"/>
          <w:sz w:val="24"/>
          <w:szCs w:val="24"/>
        </w:rPr>
        <w:t>However, the identification of efficiencies has always been an integral part of the Authority’s budget setting process, and this approach will continue, particularly in the changing financial landscape.</w:t>
      </w:r>
    </w:p>
    <w:p w14:paraId="10E8F135" w14:textId="7F4F3628" w:rsidR="00A2789C" w:rsidRPr="006122B0" w:rsidRDefault="00A2789C" w:rsidP="00A2789C">
      <w:pPr>
        <w:rPr>
          <w:rFonts w:ascii="Arial" w:hAnsi="Arial" w:cs="Arial"/>
          <w:sz w:val="24"/>
          <w:szCs w:val="24"/>
        </w:rPr>
      </w:pPr>
      <w:r w:rsidRPr="006122B0">
        <w:rPr>
          <w:rFonts w:ascii="Arial" w:hAnsi="Arial" w:cs="Arial"/>
          <w:sz w:val="24"/>
          <w:szCs w:val="24"/>
        </w:rPr>
        <w:t xml:space="preserve">From 5 January 2016, ministerial responsibility for Fire and Rescue Services was transferred from the Department of Communities and Local Government (DCLG) to the Home Office, in order to support a radical transformation of how police and fire and rescue services work together. Although DCLG published the finance settlement in February 2016, responsibility for Fire budgets moved to the Home Office on 1 April 2016. </w:t>
      </w:r>
    </w:p>
    <w:p w14:paraId="4D99ADF7" w14:textId="04DD846E" w:rsidR="00C76E28" w:rsidRPr="006122B0" w:rsidRDefault="00A2789C" w:rsidP="00A2789C">
      <w:pPr>
        <w:rPr>
          <w:rFonts w:ascii="Arial" w:hAnsi="Arial" w:cs="Arial"/>
          <w:sz w:val="24"/>
          <w:szCs w:val="24"/>
        </w:rPr>
      </w:pPr>
      <w:r w:rsidRPr="006122B0">
        <w:rPr>
          <w:rFonts w:ascii="Arial" w:hAnsi="Arial" w:cs="Arial"/>
          <w:sz w:val="24"/>
          <w:szCs w:val="24"/>
        </w:rPr>
        <w:t>Local authorities were issued with a provisional four year settlement which covered the financial years 2016/17 to 2019/20, and were told that these settlements would be confirmed over the period, if Efficiency Plans covering the same period were produced and submitted to the Home Office. Following the acceptance of its Efficiency Plan in February 2017, the Authority now has a degree of financial certainty in its planning process f</w:t>
      </w:r>
      <w:r w:rsidR="00160F9C">
        <w:rPr>
          <w:rFonts w:ascii="Arial" w:hAnsi="Arial" w:cs="Arial"/>
          <w:sz w:val="24"/>
          <w:szCs w:val="24"/>
        </w:rPr>
        <w:t>or the planning period.</w:t>
      </w:r>
    </w:p>
    <w:p w14:paraId="11CDBFDA" w14:textId="77777777" w:rsidR="00160F9C" w:rsidRDefault="00160F9C">
      <w:pPr>
        <w:rPr>
          <w:rFonts w:ascii="Arial" w:hAnsi="Arial" w:cs="Arial"/>
          <w:sz w:val="24"/>
          <w:szCs w:val="24"/>
        </w:rPr>
      </w:pPr>
      <w:r>
        <w:rPr>
          <w:rFonts w:ascii="Arial" w:hAnsi="Arial" w:cs="Arial"/>
          <w:sz w:val="24"/>
          <w:szCs w:val="24"/>
        </w:rPr>
        <w:t>The Authority is committed to delivering a fire and rescue service that provides value for money and enhances public safety, and to this end, has collaborated with Hereford and Worcestershire Fire Authority to form a strategic alliance. This provides the advantages associated with large organisations without losing the agility of being two small, lean and community focused fire and rescue services.</w:t>
      </w:r>
    </w:p>
    <w:p w14:paraId="0D074B9B" w14:textId="77777777" w:rsidR="008670A9" w:rsidRDefault="00160F9C">
      <w:pPr>
        <w:rPr>
          <w:rFonts w:ascii="Arial" w:hAnsi="Arial" w:cs="Arial"/>
          <w:sz w:val="24"/>
          <w:szCs w:val="24"/>
        </w:rPr>
      </w:pPr>
      <w:r>
        <w:rPr>
          <w:rFonts w:ascii="Arial" w:hAnsi="Arial" w:cs="Arial"/>
          <w:sz w:val="24"/>
          <w:szCs w:val="24"/>
        </w:rPr>
        <w:t>Prior to 2012, this arrangement had been informal in nature, however it was recognised that a formal alliance has the potential to deliver benefits from aligning processes and procedures and sharing resources, expertise and experience.</w:t>
      </w:r>
      <w:r w:rsidR="0074185A">
        <w:rPr>
          <w:rFonts w:ascii="Arial" w:hAnsi="Arial" w:cs="Arial"/>
          <w:sz w:val="24"/>
          <w:szCs w:val="24"/>
        </w:rPr>
        <w:t xml:space="preserve"> Officers of both services can now develop a plan to form a long and sustainable strategic alliance that will increase capacity and resilience into the next decade.</w:t>
      </w:r>
    </w:p>
    <w:p w14:paraId="611DAFE1" w14:textId="6B68F7A5" w:rsidR="00C76E28" w:rsidRPr="006122B0" w:rsidRDefault="00C76E28">
      <w:pPr>
        <w:rPr>
          <w:rFonts w:ascii="Arial" w:hAnsi="Arial" w:cs="Arial"/>
          <w:sz w:val="24"/>
          <w:szCs w:val="24"/>
        </w:rPr>
      </w:pPr>
    </w:p>
    <w:p w14:paraId="20F40736" w14:textId="48695099" w:rsidR="00C76E28" w:rsidRPr="005708F5" w:rsidRDefault="00C76E28" w:rsidP="00A2789C">
      <w:pPr>
        <w:rPr>
          <w:rFonts w:ascii="Arial" w:hAnsi="Arial" w:cs="Arial"/>
          <w:b/>
          <w:sz w:val="28"/>
          <w:szCs w:val="28"/>
        </w:rPr>
      </w:pPr>
      <w:r w:rsidRPr="005708F5">
        <w:rPr>
          <w:rFonts w:ascii="Arial" w:hAnsi="Arial" w:cs="Arial"/>
          <w:b/>
          <w:sz w:val="28"/>
          <w:szCs w:val="28"/>
        </w:rPr>
        <w:t xml:space="preserve">The </w:t>
      </w:r>
      <w:r w:rsidR="00160F9C">
        <w:rPr>
          <w:rFonts w:ascii="Arial" w:hAnsi="Arial" w:cs="Arial"/>
          <w:b/>
          <w:sz w:val="28"/>
          <w:szCs w:val="28"/>
        </w:rPr>
        <w:t>Planning Cycle</w:t>
      </w:r>
    </w:p>
    <w:p w14:paraId="6EE65D41" w14:textId="42083F45" w:rsidR="00A2789C" w:rsidRDefault="00A2789C" w:rsidP="00A2789C">
      <w:pPr>
        <w:rPr>
          <w:rFonts w:ascii="Arial" w:hAnsi="Arial" w:cs="Arial"/>
          <w:sz w:val="24"/>
          <w:szCs w:val="24"/>
        </w:rPr>
      </w:pPr>
      <w:r w:rsidRPr="006122B0">
        <w:rPr>
          <w:rFonts w:ascii="Arial" w:hAnsi="Arial" w:cs="Arial"/>
          <w:sz w:val="24"/>
          <w:szCs w:val="24"/>
        </w:rPr>
        <w:t>The Authority continues to monitor and review its strategic planning options and is well placed to react to future funding decisions.</w:t>
      </w:r>
      <w:r w:rsidR="00495FB1" w:rsidRPr="006122B0">
        <w:rPr>
          <w:rFonts w:ascii="Arial" w:hAnsi="Arial" w:cs="Arial"/>
          <w:sz w:val="24"/>
          <w:szCs w:val="24"/>
        </w:rPr>
        <w:t xml:space="preserve"> Financial planning is reviewed and considered by officers and members in Strategy &amp; Resources Committee, before being recommended to the Fire Authority for decision. There is also opportunity for further discussion at the Authority’s Strategy and Planning Working Group (STRaP).</w:t>
      </w:r>
    </w:p>
    <w:p w14:paraId="2705759E" w14:textId="2170970D" w:rsidR="005708F5" w:rsidRDefault="005708F5" w:rsidP="00A2789C">
      <w:pPr>
        <w:rPr>
          <w:rFonts w:ascii="Arial" w:hAnsi="Arial" w:cs="Arial"/>
          <w:sz w:val="24"/>
          <w:szCs w:val="24"/>
        </w:rPr>
      </w:pPr>
      <w:r>
        <w:rPr>
          <w:rFonts w:ascii="Arial" w:hAnsi="Arial" w:cs="Arial"/>
          <w:sz w:val="24"/>
          <w:szCs w:val="24"/>
        </w:rPr>
        <w:t>The Authority prepares short, medium and long term revenue and capital budgets, leading in February each year to the setting of the precept (council tax) for the year ahead.</w:t>
      </w:r>
    </w:p>
    <w:p w14:paraId="2B240F6D" w14:textId="77A03BA6" w:rsidR="005708F5" w:rsidRDefault="005708F5" w:rsidP="00A2789C">
      <w:pPr>
        <w:rPr>
          <w:rFonts w:ascii="Arial" w:hAnsi="Arial" w:cs="Arial"/>
          <w:sz w:val="24"/>
          <w:szCs w:val="24"/>
        </w:rPr>
      </w:pPr>
      <w:r>
        <w:rPr>
          <w:rFonts w:ascii="Arial" w:hAnsi="Arial" w:cs="Arial"/>
          <w:sz w:val="24"/>
          <w:szCs w:val="24"/>
        </w:rPr>
        <w:t>The detailed process for budget planning is agreed and the leading factors are service planning, government grant settlement and precept strategy. Effective strategic planning demands that all service plans are consistent with the budgets as agreed each February.</w:t>
      </w:r>
    </w:p>
    <w:p w14:paraId="6AB00292" w14:textId="25FEFA2F" w:rsidR="005708F5" w:rsidRDefault="005708F5" w:rsidP="00A2789C">
      <w:pPr>
        <w:rPr>
          <w:rFonts w:ascii="Arial" w:hAnsi="Arial" w:cs="Arial"/>
          <w:sz w:val="24"/>
          <w:szCs w:val="24"/>
        </w:rPr>
      </w:pPr>
      <w:r>
        <w:rPr>
          <w:rFonts w:ascii="Arial" w:hAnsi="Arial" w:cs="Arial"/>
          <w:sz w:val="24"/>
          <w:szCs w:val="24"/>
        </w:rPr>
        <w:t>To be successful, strategic planning must ensure that the Service’s ambitions are quantified in the revenue budget and capital programme, both now and in the medium term. Attention must also be paid to long term budget requirements and the resources likely to be available. Exact budgets cannot be formulated in such uncertain circumstances and so the Authority should have a range of options available to redesign service delivery according to varying levels of budget reduction.</w:t>
      </w:r>
    </w:p>
    <w:p w14:paraId="2B817CB6" w14:textId="77777777" w:rsidR="00582FA9" w:rsidRDefault="00582FA9">
      <w:pPr>
        <w:rPr>
          <w:rFonts w:ascii="Arial" w:hAnsi="Arial" w:cs="Arial"/>
          <w:b/>
          <w:sz w:val="24"/>
          <w:szCs w:val="24"/>
        </w:rPr>
      </w:pPr>
      <w:r>
        <w:rPr>
          <w:rFonts w:ascii="Arial" w:hAnsi="Arial" w:cs="Arial"/>
          <w:b/>
          <w:sz w:val="24"/>
          <w:szCs w:val="24"/>
        </w:rPr>
        <w:br w:type="page"/>
      </w:r>
    </w:p>
    <w:p w14:paraId="20031880" w14:textId="34F16376" w:rsidR="005708F5" w:rsidRDefault="005708F5" w:rsidP="00A2789C">
      <w:pPr>
        <w:rPr>
          <w:rFonts w:ascii="Arial" w:hAnsi="Arial" w:cs="Arial"/>
          <w:b/>
          <w:sz w:val="24"/>
          <w:szCs w:val="24"/>
        </w:rPr>
      </w:pPr>
      <w:r w:rsidRPr="005708F5">
        <w:rPr>
          <w:rFonts w:ascii="Arial" w:hAnsi="Arial" w:cs="Arial"/>
          <w:b/>
          <w:sz w:val="24"/>
          <w:szCs w:val="24"/>
        </w:rPr>
        <w:t>The Revenue Budget</w:t>
      </w:r>
    </w:p>
    <w:p w14:paraId="41D0B1D1" w14:textId="29B68D3F" w:rsidR="005708F5" w:rsidRDefault="005708F5" w:rsidP="00A2789C">
      <w:pPr>
        <w:rPr>
          <w:rFonts w:ascii="Arial" w:hAnsi="Arial" w:cs="Arial"/>
          <w:sz w:val="24"/>
          <w:szCs w:val="24"/>
        </w:rPr>
      </w:pPr>
      <w:r>
        <w:rPr>
          <w:rFonts w:ascii="Arial" w:hAnsi="Arial" w:cs="Arial"/>
          <w:sz w:val="24"/>
          <w:szCs w:val="24"/>
        </w:rPr>
        <w:t>There are a number of stages to the review of the revenue budget and they are outlined in the table below.</w:t>
      </w:r>
    </w:p>
    <w:tbl>
      <w:tblPr>
        <w:tblStyle w:val="TableGrid"/>
        <w:tblW w:w="0" w:type="auto"/>
        <w:tblLook w:val="04A0" w:firstRow="1" w:lastRow="0" w:firstColumn="1" w:lastColumn="0" w:noHBand="0" w:noVBand="1"/>
      </w:tblPr>
      <w:tblGrid>
        <w:gridCol w:w="2830"/>
        <w:gridCol w:w="6520"/>
      </w:tblGrid>
      <w:tr w:rsidR="005708F5" w14:paraId="2ADEFE17" w14:textId="77777777" w:rsidTr="005708F5">
        <w:tc>
          <w:tcPr>
            <w:tcW w:w="2830" w:type="dxa"/>
            <w:vAlign w:val="center"/>
          </w:tcPr>
          <w:p w14:paraId="3FD77937" w14:textId="77777777" w:rsidR="005708F5" w:rsidRDefault="005708F5" w:rsidP="005708F5">
            <w:pPr>
              <w:rPr>
                <w:rFonts w:ascii="Arial" w:hAnsi="Arial" w:cs="Arial"/>
                <w:b/>
                <w:sz w:val="24"/>
                <w:szCs w:val="24"/>
              </w:rPr>
            </w:pPr>
          </w:p>
          <w:p w14:paraId="3B38FA3E" w14:textId="77777777" w:rsidR="005708F5" w:rsidRDefault="005708F5" w:rsidP="005708F5">
            <w:pPr>
              <w:rPr>
                <w:rFonts w:ascii="Arial" w:hAnsi="Arial" w:cs="Arial"/>
                <w:b/>
                <w:sz w:val="24"/>
                <w:szCs w:val="24"/>
              </w:rPr>
            </w:pPr>
            <w:r>
              <w:rPr>
                <w:rFonts w:ascii="Arial" w:hAnsi="Arial" w:cs="Arial"/>
                <w:b/>
                <w:sz w:val="24"/>
                <w:szCs w:val="24"/>
              </w:rPr>
              <w:t>Review of the base budget</w:t>
            </w:r>
          </w:p>
          <w:p w14:paraId="48E4891D" w14:textId="485211D8" w:rsidR="005708F5" w:rsidRDefault="005708F5" w:rsidP="005708F5">
            <w:pPr>
              <w:rPr>
                <w:rFonts w:ascii="Arial" w:hAnsi="Arial" w:cs="Arial"/>
                <w:b/>
                <w:sz w:val="24"/>
                <w:szCs w:val="24"/>
              </w:rPr>
            </w:pPr>
          </w:p>
        </w:tc>
        <w:tc>
          <w:tcPr>
            <w:tcW w:w="6520" w:type="dxa"/>
            <w:vAlign w:val="center"/>
          </w:tcPr>
          <w:p w14:paraId="13E4EC40" w14:textId="77777777" w:rsidR="005708F5" w:rsidRDefault="005708F5" w:rsidP="005708F5">
            <w:pPr>
              <w:rPr>
                <w:rFonts w:ascii="Arial" w:hAnsi="Arial" w:cs="Arial"/>
                <w:sz w:val="24"/>
                <w:szCs w:val="24"/>
              </w:rPr>
            </w:pPr>
          </w:p>
          <w:p w14:paraId="737375BB" w14:textId="77777777" w:rsidR="005708F5" w:rsidRDefault="005708F5" w:rsidP="005708F5">
            <w:pPr>
              <w:rPr>
                <w:rFonts w:ascii="Arial" w:hAnsi="Arial" w:cs="Arial"/>
                <w:sz w:val="24"/>
                <w:szCs w:val="24"/>
              </w:rPr>
            </w:pPr>
            <w:r>
              <w:rPr>
                <w:rFonts w:ascii="Arial" w:hAnsi="Arial" w:cs="Arial"/>
                <w:sz w:val="24"/>
                <w:szCs w:val="24"/>
              </w:rPr>
              <w:t>Individual budget areas are reviewed by officers and amended where necessary</w:t>
            </w:r>
          </w:p>
          <w:p w14:paraId="026D017E" w14:textId="77777777" w:rsidR="005708F5" w:rsidRPr="005708F5" w:rsidRDefault="005708F5" w:rsidP="005708F5">
            <w:pPr>
              <w:rPr>
                <w:rFonts w:ascii="Arial" w:hAnsi="Arial" w:cs="Arial"/>
                <w:sz w:val="24"/>
                <w:szCs w:val="24"/>
              </w:rPr>
            </w:pPr>
          </w:p>
        </w:tc>
      </w:tr>
      <w:tr w:rsidR="005708F5" w14:paraId="1115EF30" w14:textId="77777777" w:rsidTr="005708F5">
        <w:tc>
          <w:tcPr>
            <w:tcW w:w="2830" w:type="dxa"/>
            <w:vAlign w:val="center"/>
          </w:tcPr>
          <w:p w14:paraId="4787680B" w14:textId="77777777" w:rsidR="005708F5" w:rsidRDefault="005708F5" w:rsidP="005708F5">
            <w:pPr>
              <w:rPr>
                <w:rFonts w:ascii="Arial" w:hAnsi="Arial" w:cs="Arial"/>
                <w:b/>
                <w:sz w:val="24"/>
                <w:szCs w:val="24"/>
              </w:rPr>
            </w:pPr>
          </w:p>
          <w:p w14:paraId="77BDCDA7" w14:textId="77777777" w:rsidR="005708F5" w:rsidRDefault="005708F5" w:rsidP="005708F5">
            <w:pPr>
              <w:rPr>
                <w:rFonts w:ascii="Arial" w:hAnsi="Arial" w:cs="Arial"/>
                <w:b/>
                <w:sz w:val="24"/>
                <w:szCs w:val="24"/>
              </w:rPr>
            </w:pPr>
            <w:r>
              <w:rPr>
                <w:rFonts w:ascii="Arial" w:hAnsi="Arial" w:cs="Arial"/>
                <w:b/>
                <w:sz w:val="24"/>
                <w:szCs w:val="24"/>
              </w:rPr>
              <w:t>Committed costs</w:t>
            </w:r>
          </w:p>
          <w:p w14:paraId="47C67E7E" w14:textId="504810EA" w:rsidR="005708F5" w:rsidRDefault="005708F5" w:rsidP="005708F5">
            <w:pPr>
              <w:rPr>
                <w:rFonts w:ascii="Arial" w:hAnsi="Arial" w:cs="Arial"/>
                <w:b/>
                <w:sz w:val="24"/>
                <w:szCs w:val="24"/>
              </w:rPr>
            </w:pPr>
          </w:p>
        </w:tc>
        <w:tc>
          <w:tcPr>
            <w:tcW w:w="6520" w:type="dxa"/>
            <w:vAlign w:val="center"/>
          </w:tcPr>
          <w:p w14:paraId="24EF72DB" w14:textId="5823957A" w:rsidR="005708F5" w:rsidRPr="005708F5" w:rsidRDefault="005708F5" w:rsidP="005708F5">
            <w:pPr>
              <w:rPr>
                <w:rFonts w:ascii="Arial" w:hAnsi="Arial" w:cs="Arial"/>
                <w:sz w:val="24"/>
                <w:szCs w:val="24"/>
              </w:rPr>
            </w:pPr>
            <w:r>
              <w:rPr>
                <w:rFonts w:ascii="Arial" w:hAnsi="Arial" w:cs="Arial"/>
                <w:sz w:val="24"/>
                <w:szCs w:val="24"/>
              </w:rPr>
              <w:t>Changes to expenditure are made where decisions have already been taken ie pension scheme increases, leasing costs, debt charges for approved capital scheme</w:t>
            </w:r>
          </w:p>
        </w:tc>
      </w:tr>
      <w:tr w:rsidR="005708F5" w14:paraId="455D8F2E" w14:textId="77777777" w:rsidTr="005708F5">
        <w:tc>
          <w:tcPr>
            <w:tcW w:w="2830" w:type="dxa"/>
            <w:vAlign w:val="center"/>
          </w:tcPr>
          <w:p w14:paraId="1185BDB0" w14:textId="682A4A20" w:rsidR="005708F5" w:rsidRDefault="005708F5" w:rsidP="005708F5">
            <w:pPr>
              <w:rPr>
                <w:rFonts w:ascii="Arial" w:hAnsi="Arial" w:cs="Arial"/>
                <w:b/>
                <w:sz w:val="24"/>
                <w:szCs w:val="24"/>
              </w:rPr>
            </w:pPr>
            <w:r>
              <w:rPr>
                <w:rFonts w:ascii="Arial" w:hAnsi="Arial" w:cs="Arial"/>
                <w:b/>
                <w:sz w:val="24"/>
                <w:szCs w:val="24"/>
              </w:rPr>
              <w:t>Pay and prices</w:t>
            </w:r>
          </w:p>
        </w:tc>
        <w:tc>
          <w:tcPr>
            <w:tcW w:w="6520" w:type="dxa"/>
            <w:vAlign w:val="center"/>
          </w:tcPr>
          <w:p w14:paraId="52CAB3B9" w14:textId="396AA18A" w:rsidR="005708F5" w:rsidRPr="005708F5" w:rsidRDefault="005708F5" w:rsidP="005708F5">
            <w:pPr>
              <w:rPr>
                <w:rFonts w:ascii="Arial" w:hAnsi="Arial" w:cs="Arial"/>
                <w:sz w:val="24"/>
                <w:szCs w:val="24"/>
              </w:rPr>
            </w:pPr>
            <w:r>
              <w:rPr>
                <w:rFonts w:ascii="Arial" w:hAnsi="Arial" w:cs="Arial"/>
                <w:sz w:val="24"/>
                <w:szCs w:val="24"/>
              </w:rPr>
              <w:t>Assumptions are made around likely pay awards and inflationary pressures, and adjustments are made to the budget</w:t>
            </w:r>
          </w:p>
        </w:tc>
      </w:tr>
      <w:tr w:rsidR="005708F5" w14:paraId="7B05306E" w14:textId="77777777" w:rsidTr="005708F5">
        <w:tc>
          <w:tcPr>
            <w:tcW w:w="2830" w:type="dxa"/>
            <w:vAlign w:val="center"/>
          </w:tcPr>
          <w:p w14:paraId="314AC2C9" w14:textId="7ACCE6BD" w:rsidR="005708F5" w:rsidRDefault="00801515" w:rsidP="005708F5">
            <w:pPr>
              <w:rPr>
                <w:rFonts w:ascii="Arial" w:hAnsi="Arial" w:cs="Arial"/>
                <w:b/>
                <w:sz w:val="24"/>
                <w:szCs w:val="24"/>
              </w:rPr>
            </w:pPr>
            <w:r>
              <w:rPr>
                <w:rFonts w:ascii="Arial" w:hAnsi="Arial" w:cs="Arial"/>
                <w:b/>
                <w:sz w:val="24"/>
                <w:szCs w:val="24"/>
              </w:rPr>
              <w:t>Efficiencies</w:t>
            </w:r>
          </w:p>
        </w:tc>
        <w:tc>
          <w:tcPr>
            <w:tcW w:w="6520" w:type="dxa"/>
            <w:vAlign w:val="center"/>
          </w:tcPr>
          <w:p w14:paraId="1C1F6227" w14:textId="21BCC84A" w:rsidR="005708F5" w:rsidRPr="005708F5" w:rsidRDefault="00801515" w:rsidP="005708F5">
            <w:pPr>
              <w:rPr>
                <w:rFonts w:ascii="Arial" w:hAnsi="Arial" w:cs="Arial"/>
                <w:sz w:val="24"/>
                <w:szCs w:val="24"/>
              </w:rPr>
            </w:pPr>
            <w:r>
              <w:rPr>
                <w:rFonts w:ascii="Arial" w:hAnsi="Arial" w:cs="Arial"/>
                <w:sz w:val="24"/>
                <w:szCs w:val="24"/>
              </w:rPr>
              <w:t>Reductions to the budget will be made where more efficient ways of working are identified</w:t>
            </w:r>
          </w:p>
        </w:tc>
      </w:tr>
      <w:tr w:rsidR="005708F5" w14:paraId="60A1BCC3" w14:textId="77777777" w:rsidTr="005708F5">
        <w:tc>
          <w:tcPr>
            <w:tcW w:w="2830" w:type="dxa"/>
            <w:vAlign w:val="center"/>
          </w:tcPr>
          <w:p w14:paraId="111FE9FE" w14:textId="625C7A73" w:rsidR="005708F5" w:rsidRDefault="00801515" w:rsidP="005708F5">
            <w:pPr>
              <w:rPr>
                <w:rFonts w:ascii="Arial" w:hAnsi="Arial" w:cs="Arial"/>
                <w:b/>
                <w:sz w:val="24"/>
                <w:szCs w:val="24"/>
              </w:rPr>
            </w:pPr>
            <w:r>
              <w:rPr>
                <w:rFonts w:ascii="Arial" w:hAnsi="Arial" w:cs="Arial"/>
                <w:b/>
                <w:sz w:val="24"/>
                <w:szCs w:val="24"/>
              </w:rPr>
              <w:t>Capital programme</w:t>
            </w:r>
          </w:p>
        </w:tc>
        <w:tc>
          <w:tcPr>
            <w:tcW w:w="6520" w:type="dxa"/>
            <w:vAlign w:val="center"/>
          </w:tcPr>
          <w:p w14:paraId="10607CD5" w14:textId="052B8BAA" w:rsidR="005708F5" w:rsidRPr="005708F5" w:rsidRDefault="00801515" w:rsidP="005708F5">
            <w:pPr>
              <w:rPr>
                <w:rFonts w:ascii="Arial" w:hAnsi="Arial" w:cs="Arial"/>
                <w:sz w:val="24"/>
                <w:szCs w:val="24"/>
              </w:rPr>
            </w:pPr>
            <w:r>
              <w:rPr>
                <w:rFonts w:ascii="Arial" w:hAnsi="Arial" w:cs="Arial"/>
                <w:sz w:val="24"/>
                <w:szCs w:val="24"/>
              </w:rPr>
              <w:t>Where capital schemes are to be funded from borrowing, the associated debt charge will be reflected in the revenue budget</w:t>
            </w:r>
          </w:p>
        </w:tc>
      </w:tr>
    </w:tbl>
    <w:p w14:paraId="0A85DF76" w14:textId="3F4D26C6" w:rsidR="00047868" w:rsidRDefault="00047868" w:rsidP="00A2789C">
      <w:pPr>
        <w:rPr>
          <w:rFonts w:ascii="Arial" w:hAnsi="Arial" w:cs="Arial"/>
          <w:b/>
          <w:sz w:val="24"/>
          <w:szCs w:val="24"/>
        </w:rPr>
      </w:pPr>
    </w:p>
    <w:p w14:paraId="66E02089" w14:textId="09E73D18" w:rsidR="00047868" w:rsidRDefault="00047868" w:rsidP="00A2789C">
      <w:pPr>
        <w:rPr>
          <w:rFonts w:ascii="Arial" w:hAnsi="Arial" w:cs="Arial"/>
          <w:b/>
          <w:sz w:val="24"/>
          <w:szCs w:val="24"/>
        </w:rPr>
      </w:pPr>
      <w:r>
        <w:rPr>
          <w:rFonts w:ascii="Arial" w:hAnsi="Arial" w:cs="Arial"/>
          <w:b/>
          <w:sz w:val="24"/>
          <w:szCs w:val="24"/>
        </w:rPr>
        <w:t>Revenue Resources available</w:t>
      </w:r>
    </w:p>
    <w:p w14:paraId="7EFEA405" w14:textId="1EAFAA81" w:rsidR="00047868" w:rsidRDefault="00047868" w:rsidP="00A2789C">
      <w:pPr>
        <w:rPr>
          <w:rFonts w:ascii="Arial" w:hAnsi="Arial" w:cs="Arial"/>
          <w:sz w:val="24"/>
          <w:szCs w:val="24"/>
        </w:rPr>
      </w:pPr>
      <w:r>
        <w:rPr>
          <w:rFonts w:ascii="Arial" w:hAnsi="Arial" w:cs="Arial"/>
          <w:sz w:val="24"/>
          <w:szCs w:val="24"/>
        </w:rPr>
        <w:t>The revenue budget is funded from the following:</w:t>
      </w:r>
    </w:p>
    <w:tbl>
      <w:tblPr>
        <w:tblStyle w:val="TableGrid"/>
        <w:tblW w:w="0" w:type="auto"/>
        <w:tblLook w:val="04A0" w:firstRow="1" w:lastRow="0" w:firstColumn="1" w:lastColumn="0" w:noHBand="0" w:noVBand="1"/>
      </w:tblPr>
      <w:tblGrid>
        <w:gridCol w:w="2830"/>
        <w:gridCol w:w="6520"/>
      </w:tblGrid>
      <w:tr w:rsidR="00047868" w14:paraId="315766CB" w14:textId="77777777" w:rsidTr="00047868">
        <w:tc>
          <w:tcPr>
            <w:tcW w:w="2830" w:type="dxa"/>
            <w:vAlign w:val="center"/>
          </w:tcPr>
          <w:p w14:paraId="750F65FE" w14:textId="21B8D7CB" w:rsidR="00047868" w:rsidRPr="00047868" w:rsidRDefault="00047868" w:rsidP="00047868">
            <w:pPr>
              <w:rPr>
                <w:rFonts w:ascii="Arial" w:hAnsi="Arial" w:cs="Arial"/>
                <w:b/>
                <w:sz w:val="24"/>
                <w:szCs w:val="24"/>
              </w:rPr>
            </w:pPr>
            <w:r>
              <w:rPr>
                <w:rFonts w:ascii="Arial" w:hAnsi="Arial" w:cs="Arial"/>
                <w:b/>
                <w:sz w:val="24"/>
                <w:szCs w:val="24"/>
              </w:rPr>
              <w:t>Council Tax</w:t>
            </w:r>
          </w:p>
        </w:tc>
        <w:tc>
          <w:tcPr>
            <w:tcW w:w="6520" w:type="dxa"/>
            <w:vAlign w:val="center"/>
          </w:tcPr>
          <w:p w14:paraId="6AC8B868" w14:textId="3AE21D8F" w:rsidR="00047868" w:rsidRPr="00047868" w:rsidRDefault="00047868" w:rsidP="00047868">
            <w:pPr>
              <w:rPr>
                <w:rFonts w:ascii="Arial" w:hAnsi="Arial" w:cs="Arial"/>
                <w:sz w:val="24"/>
                <w:szCs w:val="24"/>
              </w:rPr>
            </w:pPr>
            <w:r>
              <w:rPr>
                <w:rFonts w:ascii="Arial" w:hAnsi="Arial" w:cs="Arial"/>
                <w:sz w:val="24"/>
                <w:szCs w:val="24"/>
              </w:rPr>
              <w:t>Precept income is the largest of the Authority’s income streams, and currently covers around 70% of the budget requirement</w:t>
            </w:r>
          </w:p>
        </w:tc>
      </w:tr>
      <w:tr w:rsidR="00047868" w14:paraId="432B97F3" w14:textId="77777777" w:rsidTr="00047868">
        <w:tc>
          <w:tcPr>
            <w:tcW w:w="2830" w:type="dxa"/>
            <w:vAlign w:val="center"/>
          </w:tcPr>
          <w:p w14:paraId="010F3AB7" w14:textId="5607E77E" w:rsidR="00047868" w:rsidRPr="00047868" w:rsidRDefault="00047868" w:rsidP="00047868">
            <w:pPr>
              <w:rPr>
                <w:rFonts w:ascii="Arial" w:hAnsi="Arial" w:cs="Arial"/>
                <w:b/>
                <w:sz w:val="24"/>
                <w:szCs w:val="24"/>
              </w:rPr>
            </w:pPr>
            <w:r>
              <w:rPr>
                <w:rFonts w:ascii="Arial" w:hAnsi="Arial" w:cs="Arial"/>
                <w:b/>
                <w:sz w:val="24"/>
                <w:szCs w:val="24"/>
              </w:rPr>
              <w:t>Business rates from authorities</w:t>
            </w:r>
          </w:p>
        </w:tc>
        <w:tc>
          <w:tcPr>
            <w:tcW w:w="6520" w:type="dxa"/>
            <w:vAlign w:val="center"/>
          </w:tcPr>
          <w:p w14:paraId="404C1E1A" w14:textId="21F9BF63" w:rsidR="00047868" w:rsidRPr="00047868" w:rsidRDefault="00047868" w:rsidP="00047868">
            <w:pPr>
              <w:rPr>
                <w:rFonts w:ascii="Arial" w:hAnsi="Arial" w:cs="Arial"/>
                <w:sz w:val="24"/>
                <w:szCs w:val="24"/>
              </w:rPr>
            </w:pPr>
            <w:r>
              <w:rPr>
                <w:rFonts w:ascii="Arial" w:hAnsi="Arial" w:cs="Arial"/>
                <w:sz w:val="24"/>
                <w:szCs w:val="24"/>
              </w:rPr>
              <w:t>Business rates are no longer collected centrally and redistributed by central government; they are paid to the Authority directly from Shropshire Council and Borough of Telford &amp; Wrekin</w:t>
            </w:r>
          </w:p>
        </w:tc>
      </w:tr>
      <w:tr w:rsidR="00047868" w14:paraId="03590336" w14:textId="77777777" w:rsidTr="00047868">
        <w:tc>
          <w:tcPr>
            <w:tcW w:w="2830" w:type="dxa"/>
            <w:vAlign w:val="center"/>
          </w:tcPr>
          <w:p w14:paraId="7A7115AC" w14:textId="161E9E68" w:rsidR="00047868" w:rsidRPr="00047868" w:rsidRDefault="00047868" w:rsidP="00047868">
            <w:pPr>
              <w:rPr>
                <w:rFonts w:ascii="Arial" w:hAnsi="Arial" w:cs="Arial"/>
                <w:b/>
                <w:sz w:val="24"/>
                <w:szCs w:val="24"/>
              </w:rPr>
            </w:pPr>
            <w:r>
              <w:rPr>
                <w:rFonts w:ascii="Arial" w:hAnsi="Arial" w:cs="Arial"/>
                <w:b/>
                <w:sz w:val="24"/>
                <w:szCs w:val="24"/>
              </w:rPr>
              <w:t>Business rates top up grant</w:t>
            </w:r>
          </w:p>
        </w:tc>
        <w:tc>
          <w:tcPr>
            <w:tcW w:w="6520" w:type="dxa"/>
            <w:vAlign w:val="center"/>
          </w:tcPr>
          <w:p w14:paraId="5F5963DD" w14:textId="784F33DC" w:rsidR="00047868" w:rsidRPr="00047868" w:rsidRDefault="00047868" w:rsidP="00047868">
            <w:pPr>
              <w:rPr>
                <w:rFonts w:ascii="Arial" w:hAnsi="Arial" w:cs="Arial"/>
                <w:sz w:val="24"/>
                <w:szCs w:val="24"/>
              </w:rPr>
            </w:pPr>
            <w:r>
              <w:rPr>
                <w:rFonts w:ascii="Arial" w:hAnsi="Arial" w:cs="Arial"/>
                <w:sz w:val="24"/>
                <w:szCs w:val="24"/>
              </w:rPr>
              <w:t>Top up grant is paid to the Authority as the direct payment of business rates from the constituent authorities is less than the previously redirected rates from central government</w:t>
            </w:r>
          </w:p>
        </w:tc>
      </w:tr>
      <w:tr w:rsidR="00047868" w14:paraId="6CFEDD90" w14:textId="77777777" w:rsidTr="00047868">
        <w:tc>
          <w:tcPr>
            <w:tcW w:w="2830" w:type="dxa"/>
            <w:vAlign w:val="center"/>
          </w:tcPr>
          <w:p w14:paraId="08DCCDA4" w14:textId="4787D619" w:rsidR="00047868" w:rsidRPr="00047868" w:rsidRDefault="00047868" w:rsidP="00047868">
            <w:pPr>
              <w:rPr>
                <w:rFonts w:ascii="Arial" w:hAnsi="Arial" w:cs="Arial"/>
                <w:b/>
                <w:sz w:val="24"/>
                <w:szCs w:val="24"/>
              </w:rPr>
            </w:pPr>
            <w:r>
              <w:rPr>
                <w:rFonts w:ascii="Arial" w:hAnsi="Arial" w:cs="Arial"/>
                <w:b/>
                <w:sz w:val="24"/>
                <w:szCs w:val="24"/>
              </w:rPr>
              <w:t>Revenue Support Grant</w:t>
            </w:r>
          </w:p>
        </w:tc>
        <w:tc>
          <w:tcPr>
            <w:tcW w:w="6520" w:type="dxa"/>
            <w:vAlign w:val="center"/>
          </w:tcPr>
          <w:p w14:paraId="19C9C7B3" w14:textId="2A9314B8" w:rsidR="00047868" w:rsidRPr="00047868" w:rsidRDefault="00047868" w:rsidP="00047868">
            <w:pPr>
              <w:rPr>
                <w:rFonts w:ascii="Arial" w:hAnsi="Arial" w:cs="Arial"/>
                <w:sz w:val="24"/>
                <w:szCs w:val="24"/>
              </w:rPr>
            </w:pPr>
            <w:r>
              <w:rPr>
                <w:rFonts w:ascii="Arial" w:hAnsi="Arial" w:cs="Arial"/>
                <w:sz w:val="24"/>
                <w:szCs w:val="24"/>
              </w:rPr>
              <w:t>This is a grant received directly from central government; this element of the Authority’s income has been reducing since the Local Government Finance Settlement in 2011/12.</w:t>
            </w:r>
          </w:p>
        </w:tc>
      </w:tr>
      <w:tr w:rsidR="00047868" w14:paraId="57286BA2" w14:textId="77777777" w:rsidTr="00047868">
        <w:tc>
          <w:tcPr>
            <w:tcW w:w="2830" w:type="dxa"/>
            <w:vAlign w:val="center"/>
          </w:tcPr>
          <w:p w14:paraId="0886DEB8" w14:textId="678E9B53" w:rsidR="00047868" w:rsidRPr="00047868" w:rsidRDefault="00047868" w:rsidP="00047868">
            <w:pPr>
              <w:rPr>
                <w:rFonts w:ascii="Arial" w:hAnsi="Arial" w:cs="Arial"/>
                <w:b/>
                <w:sz w:val="24"/>
                <w:szCs w:val="24"/>
              </w:rPr>
            </w:pPr>
            <w:r>
              <w:rPr>
                <w:rFonts w:ascii="Arial" w:hAnsi="Arial" w:cs="Arial"/>
                <w:b/>
                <w:sz w:val="24"/>
                <w:szCs w:val="24"/>
              </w:rPr>
              <w:t>Other grants</w:t>
            </w:r>
          </w:p>
        </w:tc>
        <w:tc>
          <w:tcPr>
            <w:tcW w:w="6520" w:type="dxa"/>
            <w:vAlign w:val="center"/>
          </w:tcPr>
          <w:p w14:paraId="391AE0A2" w14:textId="64E9C01A" w:rsidR="00047868" w:rsidRPr="00047868" w:rsidRDefault="00047868" w:rsidP="00047868">
            <w:pPr>
              <w:rPr>
                <w:rFonts w:ascii="Arial" w:hAnsi="Arial" w:cs="Arial"/>
                <w:sz w:val="24"/>
                <w:szCs w:val="24"/>
              </w:rPr>
            </w:pPr>
            <w:r>
              <w:rPr>
                <w:rFonts w:ascii="Arial" w:hAnsi="Arial" w:cs="Arial"/>
                <w:sz w:val="24"/>
                <w:szCs w:val="24"/>
              </w:rPr>
              <w:t>The Authority receives a number of smaller grants directly from central government, including transition grant and rural services delivery grant in recent years.</w:t>
            </w:r>
          </w:p>
        </w:tc>
      </w:tr>
    </w:tbl>
    <w:p w14:paraId="63DFE060" w14:textId="77777777" w:rsidR="00047868" w:rsidRPr="005708F5" w:rsidRDefault="00047868" w:rsidP="00A2789C">
      <w:pPr>
        <w:rPr>
          <w:rFonts w:ascii="Arial" w:hAnsi="Arial" w:cs="Arial"/>
          <w:b/>
          <w:sz w:val="24"/>
          <w:szCs w:val="24"/>
        </w:rPr>
      </w:pPr>
    </w:p>
    <w:p w14:paraId="1694731D" w14:textId="021A9950" w:rsidR="00A2789C" w:rsidRPr="006122B0" w:rsidRDefault="00495FB1" w:rsidP="00A2789C">
      <w:pPr>
        <w:rPr>
          <w:rFonts w:ascii="Arial" w:hAnsi="Arial" w:cs="Arial"/>
          <w:sz w:val="24"/>
          <w:szCs w:val="24"/>
        </w:rPr>
      </w:pPr>
      <w:r w:rsidRPr="006122B0">
        <w:rPr>
          <w:rFonts w:ascii="Arial" w:hAnsi="Arial" w:cs="Arial"/>
          <w:sz w:val="24"/>
          <w:szCs w:val="24"/>
        </w:rPr>
        <w:t>Current assumptions around cost pressures and funding streams are shown in the table below, and the ‘</w:t>
      </w:r>
      <w:r w:rsidR="003F38FD" w:rsidRPr="006122B0">
        <w:rPr>
          <w:rFonts w:ascii="Arial" w:hAnsi="Arial" w:cs="Arial"/>
          <w:sz w:val="24"/>
          <w:szCs w:val="24"/>
        </w:rPr>
        <w:t>S</w:t>
      </w:r>
      <w:r w:rsidRPr="006122B0">
        <w:rPr>
          <w:rFonts w:ascii="Arial" w:hAnsi="Arial" w:cs="Arial"/>
          <w:sz w:val="24"/>
          <w:szCs w:val="24"/>
        </w:rPr>
        <w:t>urplus / -</w:t>
      </w:r>
      <w:r w:rsidR="003F38FD" w:rsidRPr="006122B0">
        <w:rPr>
          <w:rFonts w:ascii="Arial" w:hAnsi="Arial" w:cs="Arial"/>
          <w:sz w:val="24"/>
          <w:szCs w:val="24"/>
        </w:rPr>
        <w:t>D</w:t>
      </w:r>
      <w:r w:rsidRPr="006122B0">
        <w:rPr>
          <w:rFonts w:ascii="Arial" w:hAnsi="Arial" w:cs="Arial"/>
          <w:sz w:val="24"/>
          <w:szCs w:val="24"/>
        </w:rPr>
        <w:t>eficit’ figure indicates whether the Authority has sufficient income to fund the revenue budget.</w:t>
      </w:r>
    </w:p>
    <w:p w14:paraId="078319B2" w14:textId="77777777" w:rsidR="00495FB1" w:rsidRPr="006122B0" w:rsidRDefault="00495FB1" w:rsidP="00A2789C">
      <w:pPr>
        <w:rPr>
          <w:rFonts w:ascii="Arial" w:hAnsi="Arial" w:cs="Arial"/>
          <w:sz w:val="24"/>
          <w:szCs w:val="24"/>
        </w:rPr>
      </w:pPr>
    </w:p>
    <w:tbl>
      <w:tblPr>
        <w:tblW w:w="9634" w:type="dxa"/>
        <w:tblLook w:val="04A0" w:firstRow="1" w:lastRow="0" w:firstColumn="1" w:lastColumn="0" w:noHBand="0" w:noVBand="1"/>
      </w:tblPr>
      <w:tblGrid>
        <w:gridCol w:w="3539"/>
        <w:gridCol w:w="1134"/>
        <w:gridCol w:w="1276"/>
        <w:gridCol w:w="1276"/>
        <w:gridCol w:w="1134"/>
        <w:gridCol w:w="1275"/>
      </w:tblGrid>
      <w:tr w:rsidR="00495FB1" w:rsidRPr="006122B0" w14:paraId="6416C675" w14:textId="77777777" w:rsidTr="00495FB1">
        <w:trPr>
          <w:trHeight w:val="936"/>
        </w:trPr>
        <w:tc>
          <w:tcPr>
            <w:tcW w:w="353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EF80528" w14:textId="77777777" w:rsidR="00495FB1" w:rsidRPr="00495FB1" w:rsidRDefault="00495FB1" w:rsidP="00495FB1">
            <w:pPr>
              <w:spacing w:after="0" w:line="240" w:lineRule="auto"/>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t>Cost assumptions</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7BEA94E9"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2018/19</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715FB67D"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2019/20</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7FE8BF62"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2020/21</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1F031B0C"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2021/22</w:t>
            </w:r>
          </w:p>
        </w:tc>
        <w:tc>
          <w:tcPr>
            <w:tcW w:w="1275" w:type="dxa"/>
            <w:tcBorders>
              <w:top w:val="single" w:sz="4" w:space="0" w:color="auto"/>
              <w:left w:val="nil"/>
              <w:bottom w:val="single" w:sz="4" w:space="0" w:color="auto"/>
              <w:right w:val="single" w:sz="4" w:space="0" w:color="auto"/>
            </w:tcBorders>
            <w:shd w:val="clear" w:color="000000" w:fill="BDD7EE"/>
            <w:vAlign w:val="center"/>
            <w:hideMark/>
          </w:tcPr>
          <w:p w14:paraId="55316C5B"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2022/23</w:t>
            </w:r>
          </w:p>
        </w:tc>
      </w:tr>
      <w:tr w:rsidR="00495FB1" w:rsidRPr="006122B0" w14:paraId="6DF19581"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8C869D1" w14:textId="72EFDB49"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Pay award - brigade managers</w:t>
            </w:r>
            <w:r w:rsidR="00ED164E">
              <w:rPr>
                <w:rFonts w:ascii="Arial" w:eastAsia="Times New Roman" w:hAnsi="Arial" w:cs="Arial"/>
                <w:color w:val="000000"/>
                <w:sz w:val="24"/>
                <w:szCs w:val="24"/>
                <w:lang w:val="en-GB" w:eastAsia="en-GB"/>
              </w:rPr>
              <w:t xml:space="preserve"> (Gold book conditions)</w:t>
            </w:r>
          </w:p>
        </w:tc>
        <w:tc>
          <w:tcPr>
            <w:tcW w:w="1134" w:type="dxa"/>
            <w:tcBorders>
              <w:top w:val="nil"/>
              <w:left w:val="nil"/>
              <w:bottom w:val="single" w:sz="4" w:space="0" w:color="auto"/>
              <w:right w:val="single" w:sz="4" w:space="0" w:color="auto"/>
            </w:tcBorders>
            <w:shd w:val="clear" w:color="auto" w:fill="auto"/>
            <w:noWrap/>
            <w:vAlign w:val="bottom"/>
            <w:hideMark/>
          </w:tcPr>
          <w:p w14:paraId="1B9065A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3.0%*</w:t>
            </w:r>
          </w:p>
        </w:tc>
        <w:tc>
          <w:tcPr>
            <w:tcW w:w="1276" w:type="dxa"/>
            <w:tcBorders>
              <w:top w:val="nil"/>
              <w:left w:val="nil"/>
              <w:bottom w:val="single" w:sz="4" w:space="0" w:color="auto"/>
              <w:right w:val="single" w:sz="4" w:space="0" w:color="auto"/>
            </w:tcBorders>
            <w:shd w:val="clear" w:color="auto" w:fill="auto"/>
            <w:noWrap/>
            <w:vAlign w:val="bottom"/>
            <w:hideMark/>
          </w:tcPr>
          <w:p w14:paraId="0D993CC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6" w:type="dxa"/>
            <w:tcBorders>
              <w:top w:val="nil"/>
              <w:left w:val="nil"/>
              <w:bottom w:val="single" w:sz="4" w:space="0" w:color="auto"/>
              <w:right w:val="single" w:sz="4" w:space="0" w:color="auto"/>
            </w:tcBorders>
            <w:shd w:val="clear" w:color="auto" w:fill="auto"/>
            <w:noWrap/>
            <w:vAlign w:val="bottom"/>
            <w:hideMark/>
          </w:tcPr>
          <w:p w14:paraId="4ABE1242"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134" w:type="dxa"/>
            <w:tcBorders>
              <w:top w:val="nil"/>
              <w:left w:val="nil"/>
              <w:bottom w:val="single" w:sz="4" w:space="0" w:color="auto"/>
              <w:right w:val="single" w:sz="4" w:space="0" w:color="auto"/>
            </w:tcBorders>
            <w:shd w:val="clear" w:color="auto" w:fill="auto"/>
            <w:noWrap/>
            <w:vAlign w:val="bottom"/>
            <w:hideMark/>
          </w:tcPr>
          <w:p w14:paraId="78CF57F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5" w:type="dxa"/>
            <w:tcBorders>
              <w:top w:val="nil"/>
              <w:left w:val="nil"/>
              <w:bottom w:val="single" w:sz="4" w:space="0" w:color="auto"/>
              <w:right w:val="single" w:sz="4" w:space="0" w:color="auto"/>
            </w:tcBorders>
            <w:shd w:val="clear" w:color="auto" w:fill="auto"/>
            <w:noWrap/>
            <w:vAlign w:val="bottom"/>
            <w:hideMark/>
          </w:tcPr>
          <w:p w14:paraId="456FD2A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r>
      <w:tr w:rsidR="00495FB1" w:rsidRPr="006122B0" w14:paraId="105A5978"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8015638" w14:textId="74D6F3FC" w:rsidR="00495FB1" w:rsidRPr="00495FB1" w:rsidRDefault="00495FB1" w:rsidP="00ED164E">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xml:space="preserve">Pay award </w:t>
            </w:r>
            <w:r w:rsidR="00ED164E">
              <w:rPr>
                <w:rFonts w:ascii="Arial" w:eastAsia="Times New Roman" w:hAnsi="Arial" w:cs="Arial"/>
                <w:color w:val="000000"/>
                <w:sz w:val="24"/>
                <w:szCs w:val="24"/>
                <w:lang w:val="en-GB" w:eastAsia="en-GB"/>
              </w:rPr>
              <w:t>–</w:t>
            </w:r>
            <w:r w:rsidRPr="00495FB1">
              <w:rPr>
                <w:rFonts w:ascii="Arial" w:eastAsia="Times New Roman" w:hAnsi="Arial" w:cs="Arial"/>
                <w:color w:val="000000"/>
                <w:sz w:val="24"/>
                <w:szCs w:val="24"/>
                <w:lang w:val="en-GB" w:eastAsia="en-GB"/>
              </w:rPr>
              <w:t xml:space="preserve"> </w:t>
            </w:r>
            <w:r w:rsidR="00ED164E">
              <w:rPr>
                <w:rFonts w:ascii="Arial" w:eastAsia="Times New Roman" w:hAnsi="Arial" w:cs="Arial"/>
                <w:color w:val="000000"/>
                <w:sz w:val="24"/>
                <w:szCs w:val="24"/>
                <w:lang w:val="en-GB" w:eastAsia="en-GB"/>
              </w:rPr>
              <w:t>operational and Control staff (Grey book conditions)</w:t>
            </w:r>
          </w:p>
        </w:tc>
        <w:tc>
          <w:tcPr>
            <w:tcW w:w="1134" w:type="dxa"/>
            <w:tcBorders>
              <w:top w:val="nil"/>
              <w:left w:val="nil"/>
              <w:bottom w:val="single" w:sz="4" w:space="0" w:color="auto"/>
              <w:right w:val="single" w:sz="4" w:space="0" w:color="auto"/>
            </w:tcBorders>
            <w:shd w:val="clear" w:color="auto" w:fill="auto"/>
            <w:noWrap/>
            <w:vAlign w:val="bottom"/>
            <w:hideMark/>
          </w:tcPr>
          <w:p w14:paraId="165592F7"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3.0%*</w:t>
            </w:r>
          </w:p>
        </w:tc>
        <w:tc>
          <w:tcPr>
            <w:tcW w:w="1276" w:type="dxa"/>
            <w:tcBorders>
              <w:top w:val="nil"/>
              <w:left w:val="nil"/>
              <w:bottom w:val="single" w:sz="4" w:space="0" w:color="auto"/>
              <w:right w:val="single" w:sz="4" w:space="0" w:color="auto"/>
            </w:tcBorders>
            <w:shd w:val="clear" w:color="auto" w:fill="auto"/>
            <w:noWrap/>
            <w:vAlign w:val="bottom"/>
            <w:hideMark/>
          </w:tcPr>
          <w:p w14:paraId="6BF3C16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6" w:type="dxa"/>
            <w:tcBorders>
              <w:top w:val="nil"/>
              <w:left w:val="nil"/>
              <w:bottom w:val="single" w:sz="4" w:space="0" w:color="auto"/>
              <w:right w:val="single" w:sz="4" w:space="0" w:color="auto"/>
            </w:tcBorders>
            <w:shd w:val="clear" w:color="auto" w:fill="auto"/>
            <w:noWrap/>
            <w:vAlign w:val="bottom"/>
            <w:hideMark/>
          </w:tcPr>
          <w:p w14:paraId="01507F8B"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134" w:type="dxa"/>
            <w:tcBorders>
              <w:top w:val="nil"/>
              <w:left w:val="nil"/>
              <w:bottom w:val="single" w:sz="4" w:space="0" w:color="auto"/>
              <w:right w:val="single" w:sz="4" w:space="0" w:color="auto"/>
            </w:tcBorders>
            <w:shd w:val="clear" w:color="auto" w:fill="auto"/>
            <w:noWrap/>
            <w:vAlign w:val="bottom"/>
            <w:hideMark/>
          </w:tcPr>
          <w:p w14:paraId="08399E3D"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5" w:type="dxa"/>
            <w:tcBorders>
              <w:top w:val="nil"/>
              <w:left w:val="nil"/>
              <w:bottom w:val="single" w:sz="4" w:space="0" w:color="auto"/>
              <w:right w:val="single" w:sz="4" w:space="0" w:color="auto"/>
            </w:tcBorders>
            <w:shd w:val="clear" w:color="auto" w:fill="auto"/>
            <w:noWrap/>
            <w:vAlign w:val="bottom"/>
            <w:hideMark/>
          </w:tcPr>
          <w:p w14:paraId="25783A1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r>
      <w:tr w:rsidR="00495FB1" w:rsidRPr="006122B0" w14:paraId="736BA263"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5271424" w14:textId="68975CD5"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Pay award - support staff</w:t>
            </w:r>
            <w:r w:rsidR="00ED164E">
              <w:rPr>
                <w:rFonts w:ascii="Arial" w:eastAsia="Times New Roman" w:hAnsi="Arial" w:cs="Arial"/>
                <w:color w:val="000000"/>
                <w:sz w:val="24"/>
                <w:szCs w:val="24"/>
                <w:lang w:val="en-GB" w:eastAsia="en-GB"/>
              </w:rPr>
              <w:t xml:space="preserve"> (Green book conditions)</w:t>
            </w:r>
          </w:p>
        </w:tc>
        <w:tc>
          <w:tcPr>
            <w:tcW w:w="1134" w:type="dxa"/>
            <w:tcBorders>
              <w:top w:val="nil"/>
              <w:left w:val="nil"/>
              <w:bottom w:val="single" w:sz="4" w:space="0" w:color="auto"/>
              <w:right w:val="single" w:sz="4" w:space="0" w:color="auto"/>
            </w:tcBorders>
            <w:shd w:val="clear" w:color="auto" w:fill="auto"/>
            <w:noWrap/>
            <w:vAlign w:val="bottom"/>
            <w:hideMark/>
          </w:tcPr>
          <w:p w14:paraId="773C8C78"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3.0%*</w:t>
            </w:r>
          </w:p>
        </w:tc>
        <w:tc>
          <w:tcPr>
            <w:tcW w:w="1276" w:type="dxa"/>
            <w:tcBorders>
              <w:top w:val="nil"/>
              <w:left w:val="nil"/>
              <w:bottom w:val="single" w:sz="4" w:space="0" w:color="auto"/>
              <w:right w:val="single" w:sz="4" w:space="0" w:color="auto"/>
            </w:tcBorders>
            <w:shd w:val="clear" w:color="auto" w:fill="auto"/>
            <w:noWrap/>
            <w:vAlign w:val="bottom"/>
            <w:hideMark/>
          </w:tcPr>
          <w:p w14:paraId="68E5C2A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6" w:type="dxa"/>
            <w:tcBorders>
              <w:top w:val="nil"/>
              <w:left w:val="nil"/>
              <w:bottom w:val="single" w:sz="4" w:space="0" w:color="auto"/>
              <w:right w:val="single" w:sz="4" w:space="0" w:color="auto"/>
            </w:tcBorders>
            <w:shd w:val="clear" w:color="auto" w:fill="auto"/>
            <w:noWrap/>
            <w:vAlign w:val="bottom"/>
            <w:hideMark/>
          </w:tcPr>
          <w:p w14:paraId="5169E353"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134" w:type="dxa"/>
            <w:tcBorders>
              <w:top w:val="nil"/>
              <w:left w:val="nil"/>
              <w:bottom w:val="single" w:sz="4" w:space="0" w:color="auto"/>
              <w:right w:val="single" w:sz="4" w:space="0" w:color="auto"/>
            </w:tcBorders>
            <w:shd w:val="clear" w:color="auto" w:fill="auto"/>
            <w:noWrap/>
            <w:vAlign w:val="bottom"/>
            <w:hideMark/>
          </w:tcPr>
          <w:p w14:paraId="6642D2B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5" w:type="dxa"/>
            <w:tcBorders>
              <w:top w:val="nil"/>
              <w:left w:val="nil"/>
              <w:bottom w:val="single" w:sz="4" w:space="0" w:color="auto"/>
              <w:right w:val="single" w:sz="4" w:space="0" w:color="auto"/>
            </w:tcBorders>
            <w:shd w:val="clear" w:color="auto" w:fill="auto"/>
            <w:noWrap/>
            <w:vAlign w:val="bottom"/>
            <w:hideMark/>
          </w:tcPr>
          <w:p w14:paraId="2C9BE34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r>
      <w:tr w:rsidR="00495FB1" w:rsidRPr="006122B0" w14:paraId="4C5D0CAA"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341B09F"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217298"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35F8D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98A68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39E782"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307324F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r w:rsidR="00495FB1" w:rsidRPr="006122B0" w14:paraId="0620744E"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8BBAACE"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*includes backdated pay award</w:t>
            </w:r>
          </w:p>
        </w:tc>
        <w:tc>
          <w:tcPr>
            <w:tcW w:w="1134" w:type="dxa"/>
            <w:tcBorders>
              <w:top w:val="nil"/>
              <w:left w:val="nil"/>
              <w:bottom w:val="single" w:sz="4" w:space="0" w:color="auto"/>
              <w:right w:val="single" w:sz="4" w:space="0" w:color="auto"/>
            </w:tcBorders>
            <w:shd w:val="clear" w:color="auto" w:fill="auto"/>
            <w:noWrap/>
            <w:vAlign w:val="bottom"/>
            <w:hideMark/>
          </w:tcPr>
          <w:p w14:paraId="42945A88"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61E80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0E249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9F61F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7F27A4"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r w:rsidR="00495FB1" w:rsidRPr="006122B0" w14:paraId="308887B9"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61A90E2"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34E415"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1EDA19"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A1D8C9"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06597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50A3A1F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r w:rsidR="00495FB1" w:rsidRPr="006122B0" w14:paraId="3E3E27EA"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0CB90A3"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Prices</w:t>
            </w:r>
          </w:p>
        </w:tc>
        <w:tc>
          <w:tcPr>
            <w:tcW w:w="1134" w:type="dxa"/>
            <w:tcBorders>
              <w:top w:val="nil"/>
              <w:left w:val="nil"/>
              <w:bottom w:val="single" w:sz="4" w:space="0" w:color="auto"/>
              <w:right w:val="single" w:sz="4" w:space="0" w:color="auto"/>
            </w:tcBorders>
            <w:shd w:val="clear" w:color="auto" w:fill="auto"/>
            <w:noWrap/>
            <w:vAlign w:val="bottom"/>
            <w:hideMark/>
          </w:tcPr>
          <w:p w14:paraId="1C787B2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2.5%</w:t>
            </w:r>
          </w:p>
        </w:tc>
        <w:tc>
          <w:tcPr>
            <w:tcW w:w="1276" w:type="dxa"/>
            <w:tcBorders>
              <w:top w:val="nil"/>
              <w:left w:val="nil"/>
              <w:bottom w:val="single" w:sz="4" w:space="0" w:color="auto"/>
              <w:right w:val="single" w:sz="4" w:space="0" w:color="auto"/>
            </w:tcBorders>
            <w:shd w:val="clear" w:color="auto" w:fill="auto"/>
            <w:noWrap/>
            <w:vAlign w:val="bottom"/>
            <w:hideMark/>
          </w:tcPr>
          <w:p w14:paraId="551A75D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2.5%</w:t>
            </w:r>
          </w:p>
        </w:tc>
        <w:tc>
          <w:tcPr>
            <w:tcW w:w="1276" w:type="dxa"/>
            <w:tcBorders>
              <w:top w:val="nil"/>
              <w:left w:val="nil"/>
              <w:bottom w:val="single" w:sz="4" w:space="0" w:color="auto"/>
              <w:right w:val="single" w:sz="4" w:space="0" w:color="auto"/>
            </w:tcBorders>
            <w:shd w:val="clear" w:color="auto" w:fill="auto"/>
            <w:noWrap/>
            <w:vAlign w:val="bottom"/>
            <w:hideMark/>
          </w:tcPr>
          <w:p w14:paraId="7328A90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2.5%</w:t>
            </w:r>
          </w:p>
        </w:tc>
        <w:tc>
          <w:tcPr>
            <w:tcW w:w="1134" w:type="dxa"/>
            <w:tcBorders>
              <w:top w:val="nil"/>
              <w:left w:val="nil"/>
              <w:bottom w:val="single" w:sz="4" w:space="0" w:color="auto"/>
              <w:right w:val="single" w:sz="4" w:space="0" w:color="auto"/>
            </w:tcBorders>
            <w:shd w:val="clear" w:color="auto" w:fill="auto"/>
            <w:noWrap/>
            <w:vAlign w:val="bottom"/>
            <w:hideMark/>
          </w:tcPr>
          <w:p w14:paraId="79E9CFA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2.5%</w:t>
            </w:r>
          </w:p>
        </w:tc>
        <w:tc>
          <w:tcPr>
            <w:tcW w:w="1275" w:type="dxa"/>
            <w:tcBorders>
              <w:top w:val="nil"/>
              <w:left w:val="nil"/>
              <w:bottom w:val="single" w:sz="4" w:space="0" w:color="auto"/>
              <w:right w:val="single" w:sz="4" w:space="0" w:color="auto"/>
            </w:tcBorders>
            <w:shd w:val="clear" w:color="auto" w:fill="auto"/>
            <w:noWrap/>
            <w:vAlign w:val="bottom"/>
            <w:hideMark/>
          </w:tcPr>
          <w:p w14:paraId="19CF3C04"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2.5%</w:t>
            </w:r>
          </w:p>
        </w:tc>
      </w:tr>
      <w:tr w:rsidR="00495FB1" w:rsidRPr="006122B0" w14:paraId="61E5EB32"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18E1A44"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928FD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A650E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798CB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196063"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6993B078"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bl>
    <w:p w14:paraId="06B4270A" w14:textId="213CF54C" w:rsidR="00495FB1" w:rsidRPr="006122B0" w:rsidRDefault="00495FB1" w:rsidP="00A2789C">
      <w:pPr>
        <w:rPr>
          <w:rFonts w:ascii="Arial" w:hAnsi="Arial" w:cs="Arial"/>
          <w:sz w:val="24"/>
          <w:szCs w:val="24"/>
        </w:rPr>
      </w:pPr>
      <w:bookmarkStart w:id="0" w:name="_GoBack"/>
      <w:bookmarkEnd w:id="0"/>
    </w:p>
    <w:tbl>
      <w:tblPr>
        <w:tblW w:w="9634" w:type="dxa"/>
        <w:tblLook w:val="04A0" w:firstRow="1" w:lastRow="0" w:firstColumn="1" w:lastColumn="0" w:noHBand="0" w:noVBand="1"/>
      </w:tblPr>
      <w:tblGrid>
        <w:gridCol w:w="3539"/>
        <w:gridCol w:w="1134"/>
        <w:gridCol w:w="1276"/>
        <w:gridCol w:w="1276"/>
        <w:gridCol w:w="1134"/>
        <w:gridCol w:w="1275"/>
      </w:tblGrid>
      <w:tr w:rsidR="00495FB1" w:rsidRPr="006122B0" w14:paraId="4CC5EAB2" w14:textId="77777777" w:rsidTr="00495FB1">
        <w:trPr>
          <w:trHeight w:val="936"/>
        </w:trPr>
        <w:tc>
          <w:tcPr>
            <w:tcW w:w="353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BD900B0" w14:textId="77777777" w:rsidR="00495FB1" w:rsidRPr="00495FB1" w:rsidRDefault="00495FB1" w:rsidP="00495FB1">
            <w:pPr>
              <w:spacing w:after="0" w:line="240" w:lineRule="auto"/>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t>Funding assumptions - Current</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0EFC3702"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2018/19</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7CD6FDBF"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2019/20</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5ED1872A"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2020/21</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273B3CFD"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2021/22</w:t>
            </w:r>
          </w:p>
        </w:tc>
        <w:tc>
          <w:tcPr>
            <w:tcW w:w="1275" w:type="dxa"/>
            <w:tcBorders>
              <w:top w:val="single" w:sz="4" w:space="0" w:color="auto"/>
              <w:left w:val="nil"/>
              <w:bottom w:val="single" w:sz="4" w:space="0" w:color="auto"/>
              <w:right w:val="single" w:sz="4" w:space="0" w:color="auto"/>
            </w:tcBorders>
            <w:shd w:val="clear" w:color="000000" w:fill="BDD7EE"/>
            <w:vAlign w:val="center"/>
            <w:hideMark/>
          </w:tcPr>
          <w:p w14:paraId="269F6A83" w14:textId="77777777" w:rsidR="00495FB1" w:rsidRPr="00495FB1" w:rsidRDefault="00495FB1" w:rsidP="00495FB1">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2022/23</w:t>
            </w:r>
          </w:p>
        </w:tc>
      </w:tr>
      <w:tr w:rsidR="00495FB1" w:rsidRPr="00495FB1" w14:paraId="47140AA7"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FC996F6"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Precept</w:t>
            </w:r>
          </w:p>
        </w:tc>
        <w:tc>
          <w:tcPr>
            <w:tcW w:w="1134" w:type="dxa"/>
            <w:tcBorders>
              <w:top w:val="nil"/>
              <w:left w:val="nil"/>
              <w:bottom w:val="single" w:sz="4" w:space="0" w:color="auto"/>
              <w:right w:val="single" w:sz="4" w:space="0" w:color="auto"/>
            </w:tcBorders>
            <w:shd w:val="clear" w:color="auto" w:fill="auto"/>
            <w:noWrap/>
            <w:vAlign w:val="bottom"/>
            <w:hideMark/>
          </w:tcPr>
          <w:p w14:paraId="53B15593"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2.99%</w:t>
            </w:r>
          </w:p>
        </w:tc>
        <w:tc>
          <w:tcPr>
            <w:tcW w:w="1276" w:type="dxa"/>
            <w:tcBorders>
              <w:top w:val="nil"/>
              <w:left w:val="nil"/>
              <w:bottom w:val="single" w:sz="4" w:space="0" w:color="auto"/>
              <w:right w:val="single" w:sz="4" w:space="0" w:color="auto"/>
            </w:tcBorders>
            <w:shd w:val="clear" w:color="auto" w:fill="auto"/>
            <w:noWrap/>
            <w:vAlign w:val="bottom"/>
            <w:hideMark/>
          </w:tcPr>
          <w:p w14:paraId="552CCC0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2.99%</w:t>
            </w:r>
          </w:p>
        </w:tc>
        <w:tc>
          <w:tcPr>
            <w:tcW w:w="1276" w:type="dxa"/>
            <w:tcBorders>
              <w:top w:val="nil"/>
              <w:left w:val="nil"/>
              <w:bottom w:val="single" w:sz="4" w:space="0" w:color="auto"/>
              <w:right w:val="single" w:sz="4" w:space="0" w:color="auto"/>
            </w:tcBorders>
            <w:shd w:val="clear" w:color="auto" w:fill="auto"/>
            <w:noWrap/>
            <w:vAlign w:val="bottom"/>
            <w:hideMark/>
          </w:tcPr>
          <w:p w14:paraId="329D254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1.99%</w:t>
            </w:r>
          </w:p>
        </w:tc>
        <w:tc>
          <w:tcPr>
            <w:tcW w:w="1134" w:type="dxa"/>
            <w:tcBorders>
              <w:top w:val="nil"/>
              <w:left w:val="nil"/>
              <w:bottom w:val="single" w:sz="4" w:space="0" w:color="auto"/>
              <w:right w:val="single" w:sz="4" w:space="0" w:color="auto"/>
            </w:tcBorders>
            <w:shd w:val="clear" w:color="auto" w:fill="auto"/>
            <w:noWrap/>
            <w:vAlign w:val="bottom"/>
            <w:hideMark/>
          </w:tcPr>
          <w:p w14:paraId="51AB053B"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1.99%</w:t>
            </w:r>
          </w:p>
        </w:tc>
        <w:tc>
          <w:tcPr>
            <w:tcW w:w="1275" w:type="dxa"/>
            <w:tcBorders>
              <w:top w:val="nil"/>
              <w:left w:val="nil"/>
              <w:bottom w:val="single" w:sz="4" w:space="0" w:color="auto"/>
              <w:right w:val="single" w:sz="4" w:space="0" w:color="auto"/>
            </w:tcBorders>
            <w:shd w:val="clear" w:color="auto" w:fill="auto"/>
            <w:noWrap/>
            <w:vAlign w:val="bottom"/>
            <w:hideMark/>
          </w:tcPr>
          <w:p w14:paraId="28F4816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1.99%</w:t>
            </w:r>
          </w:p>
        </w:tc>
      </w:tr>
      <w:tr w:rsidR="00495FB1" w:rsidRPr="00495FB1" w14:paraId="1DB6FCE0"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6E98D25"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Council tax base growth</w:t>
            </w:r>
          </w:p>
        </w:tc>
        <w:tc>
          <w:tcPr>
            <w:tcW w:w="1134" w:type="dxa"/>
            <w:tcBorders>
              <w:top w:val="nil"/>
              <w:left w:val="nil"/>
              <w:bottom w:val="single" w:sz="4" w:space="0" w:color="auto"/>
              <w:right w:val="single" w:sz="4" w:space="0" w:color="auto"/>
            </w:tcBorders>
            <w:shd w:val="clear" w:color="auto" w:fill="auto"/>
            <w:noWrap/>
            <w:vAlign w:val="bottom"/>
            <w:hideMark/>
          </w:tcPr>
          <w:p w14:paraId="28D8B489"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2.25%</w:t>
            </w:r>
          </w:p>
        </w:tc>
        <w:tc>
          <w:tcPr>
            <w:tcW w:w="1276" w:type="dxa"/>
            <w:tcBorders>
              <w:top w:val="nil"/>
              <w:left w:val="nil"/>
              <w:bottom w:val="single" w:sz="4" w:space="0" w:color="auto"/>
              <w:right w:val="single" w:sz="4" w:space="0" w:color="auto"/>
            </w:tcBorders>
            <w:shd w:val="clear" w:color="auto" w:fill="auto"/>
            <w:noWrap/>
            <w:vAlign w:val="bottom"/>
            <w:hideMark/>
          </w:tcPr>
          <w:p w14:paraId="1C92BB6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0.80%</w:t>
            </w:r>
          </w:p>
        </w:tc>
        <w:tc>
          <w:tcPr>
            <w:tcW w:w="1276" w:type="dxa"/>
            <w:tcBorders>
              <w:top w:val="nil"/>
              <w:left w:val="nil"/>
              <w:bottom w:val="single" w:sz="4" w:space="0" w:color="auto"/>
              <w:right w:val="single" w:sz="4" w:space="0" w:color="auto"/>
            </w:tcBorders>
            <w:shd w:val="clear" w:color="auto" w:fill="auto"/>
            <w:noWrap/>
            <w:vAlign w:val="bottom"/>
            <w:hideMark/>
          </w:tcPr>
          <w:p w14:paraId="442CD4E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0.80%</w:t>
            </w:r>
          </w:p>
        </w:tc>
        <w:tc>
          <w:tcPr>
            <w:tcW w:w="1134" w:type="dxa"/>
            <w:tcBorders>
              <w:top w:val="nil"/>
              <w:left w:val="nil"/>
              <w:bottom w:val="single" w:sz="4" w:space="0" w:color="auto"/>
              <w:right w:val="single" w:sz="4" w:space="0" w:color="auto"/>
            </w:tcBorders>
            <w:shd w:val="clear" w:color="auto" w:fill="auto"/>
            <w:noWrap/>
            <w:vAlign w:val="bottom"/>
            <w:hideMark/>
          </w:tcPr>
          <w:p w14:paraId="06F19F3B"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0.80%</w:t>
            </w:r>
          </w:p>
        </w:tc>
        <w:tc>
          <w:tcPr>
            <w:tcW w:w="1275" w:type="dxa"/>
            <w:tcBorders>
              <w:top w:val="nil"/>
              <w:left w:val="nil"/>
              <w:bottom w:val="single" w:sz="4" w:space="0" w:color="auto"/>
              <w:right w:val="single" w:sz="4" w:space="0" w:color="auto"/>
            </w:tcBorders>
            <w:shd w:val="clear" w:color="auto" w:fill="auto"/>
            <w:noWrap/>
            <w:vAlign w:val="bottom"/>
            <w:hideMark/>
          </w:tcPr>
          <w:p w14:paraId="7E765C1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0.80%</w:t>
            </w:r>
          </w:p>
        </w:tc>
      </w:tr>
      <w:tr w:rsidR="00495FB1" w:rsidRPr="00495FB1" w14:paraId="0CD9C3E8"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00FEB3B"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BFDF58"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E8138D"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42E73B"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ADA89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342865E5"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r w:rsidR="00495FB1" w:rsidRPr="00495FB1" w14:paraId="04FE30D4"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93D5A39"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xml:space="preserve">Business rates </w:t>
            </w:r>
          </w:p>
        </w:tc>
        <w:tc>
          <w:tcPr>
            <w:tcW w:w="1134" w:type="dxa"/>
            <w:tcBorders>
              <w:top w:val="nil"/>
              <w:left w:val="nil"/>
              <w:bottom w:val="single" w:sz="4" w:space="0" w:color="auto"/>
              <w:right w:val="single" w:sz="4" w:space="0" w:color="auto"/>
            </w:tcBorders>
            <w:shd w:val="clear" w:color="auto" w:fill="auto"/>
            <w:noWrap/>
            <w:vAlign w:val="bottom"/>
            <w:hideMark/>
          </w:tcPr>
          <w:p w14:paraId="61BB065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3.0%</w:t>
            </w:r>
          </w:p>
        </w:tc>
        <w:tc>
          <w:tcPr>
            <w:tcW w:w="1276" w:type="dxa"/>
            <w:tcBorders>
              <w:top w:val="nil"/>
              <w:left w:val="nil"/>
              <w:bottom w:val="single" w:sz="4" w:space="0" w:color="auto"/>
              <w:right w:val="single" w:sz="4" w:space="0" w:color="auto"/>
            </w:tcBorders>
            <w:shd w:val="clear" w:color="auto" w:fill="auto"/>
            <w:noWrap/>
            <w:vAlign w:val="bottom"/>
            <w:hideMark/>
          </w:tcPr>
          <w:p w14:paraId="5EEFE677"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6" w:type="dxa"/>
            <w:tcBorders>
              <w:top w:val="nil"/>
              <w:left w:val="nil"/>
              <w:bottom w:val="single" w:sz="4" w:space="0" w:color="auto"/>
              <w:right w:val="single" w:sz="4" w:space="0" w:color="auto"/>
            </w:tcBorders>
            <w:shd w:val="clear" w:color="auto" w:fill="auto"/>
            <w:noWrap/>
            <w:vAlign w:val="bottom"/>
            <w:hideMark/>
          </w:tcPr>
          <w:p w14:paraId="3469446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134" w:type="dxa"/>
            <w:tcBorders>
              <w:top w:val="nil"/>
              <w:left w:val="nil"/>
              <w:bottom w:val="single" w:sz="4" w:space="0" w:color="auto"/>
              <w:right w:val="single" w:sz="4" w:space="0" w:color="auto"/>
            </w:tcBorders>
            <w:shd w:val="clear" w:color="auto" w:fill="auto"/>
            <w:noWrap/>
            <w:vAlign w:val="bottom"/>
            <w:hideMark/>
          </w:tcPr>
          <w:p w14:paraId="45726089"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5" w:type="dxa"/>
            <w:tcBorders>
              <w:top w:val="nil"/>
              <w:left w:val="nil"/>
              <w:bottom w:val="single" w:sz="4" w:space="0" w:color="auto"/>
              <w:right w:val="single" w:sz="4" w:space="0" w:color="auto"/>
            </w:tcBorders>
            <w:shd w:val="clear" w:color="auto" w:fill="auto"/>
            <w:noWrap/>
            <w:vAlign w:val="bottom"/>
            <w:hideMark/>
          </w:tcPr>
          <w:p w14:paraId="4FEE534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r>
      <w:tr w:rsidR="00495FB1" w:rsidRPr="00495FB1" w14:paraId="54B03A10"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6A3DA8E"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Business rates top up grant</w:t>
            </w:r>
          </w:p>
        </w:tc>
        <w:tc>
          <w:tcPr>
            <w:tcW w:w="1134" w:type="dxa"/>
            <w:tcBorders>
              <w:top w:val="nil"/>
              <w:left w:val="nil"/>
              <w:bottom w:val="single" w:sz="4" w:space="0" w:color="auto"/>
              <w:right w:val="single" w:sz="4" w:space="0" w:color="auto"/>
            </w:tcBorders>
            <w:shd w:val="clear" w:color="auto" w:fill="auto"/>
            <w:noWrap/>
            <w:vAlign w:val="bottom"/>
            <w:hideMark/>
          </w:tcPr>
          <w:p w14:paraId="7704537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3.0%</w:t>
            </w:r>
          </w:p>
        </w:tc>
        <w:tc>
          <w:tcPr>
            <w:tcW w:w="1276" w:type="dxa"/>
            <w:tcBorders>
              <w:top w:val="nil"/>
              <w:left w:val="nil"/>
              <w:bottom w:val="single" w:sz="4" w:space="0" w:color="auto"/>
              <w:right w:val="single" w:sz="4" w:space="0" w:color="auto"/>
            </w:tcBorders>
            <w:shd w:val="clear" w:color="auto" w:fill="auto"/>
            <w:noWrap/>
            <w:vAlign w:val="bottom"/>
            <w:hideMark/>
          </w:tcPr>
          <w:p w14:paraId="7C042E23"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6" w:type="dxa"/>
            <w:tcBorders>
              <w:top w:val="nil"/>
              <w:left w:val="nil"/>
              <w:bottom w:val="single" w:sz="4" w:space="0" w:color="auto"/>
              <w:right w:val="single" w:sz="4" w:space="0" w:color="auto"/>
            </w:tcBorders>
            <w:shd w:val="clear" w:color="auto" w:fill="auto"/>
            <w:noWrap/>
            <w:vAlign w:val="bottom"/>
            <w:hideMark/>
          </w:tcPr>
          <w:p w14:paraId="476AF06C"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134" w:type="dxa"/>
            <w:tcBorders>
              <w:top w:val="nil"/>
              <w:left w:val="nil"/>
              <w:bottom w:val="single" w:sz="4" w:space="0" w:color="auto"/>
              <w:right w:val="single" w:sz="4" w:space="0" w:color="auto"/>
            </w:tcBorders>
            <w:shd w:val="clear" w:color="auto" w:fill="auto"/>
            <w:noWrap/>
            <w:vAlign w:val="bottom"/>
            <w:hideMark/>
          </w:tcPr>
          <w:p w14:paraId="6C9634E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c>
          <w:tcPr>
            <w:tcW w:w="1275" w:type="dxa"/>
            <w:tcBorders>
              <w:top w:val="nil"/>
              <w:left w:val="nil"/>
              <w:bottom w:val="single" w:sz="4" w:space="0" w:color="auto"/>
              <w:right w:val="single" w:sz="4" w:space="0" w:color="auto"/>
            </w:tcBorders>
            <w:shd w:val="clear" w:color="auto" w:fill="auto"/>
            <w:noWrap/>
            <w:vAlign w:val="bottom"/>
            <w:hideMark/>
          </w:tcPr>
          <w:p w14:paraId="597766D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2.0%</w:t>
            </w:r>
          </w:p>
        </w:tc>
      </w:tr>
      <w:tr w:rsidR="00495FB1" w:rsidRPr="00495FB1" w14:paraId="20771A2E"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7B0655D"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2D4354"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7CBD3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74B13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BE6B15"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3F1EED0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r w:rsidR="00495FB1" w:rsidRPr="00495FB1" w14:paraId="024812AD"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4340FE2"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xml:space="preserve">RSG </w:t>
            </w:r>
          </w:p>
        </w:tc>
        <w:tc>
          <w:tcPr>
            <w:tcW w:w="1134" w:type="dxa"/>
            <w:tcBorders>
              <w:top w:val="nil"/>
              <w:left w:val="nil"/>
              <w:bottom w:val="single" w:sz="4" w:space="0" w:color="auto"/>
              <w:right w:val="single" w:sz="4" w:space="0" w:color="auto"/>
            </w:tcBorders>
            <w:shd w:val="clear" w:color="auto" w:fill="auto"/>
            <w:noWrap/>
            <w:vAlign w:val="bottom"/>
            <w:hideMark/>
          </w:tcPr>
          <w:p w14:paraId="2C521B48"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-23.5%</w:t>
            </w:r>
          </w:p>
        </w:tc>
        <w:tc>
          <w:tcPr>
            <w:tcW w:w="1276" w:type="dxa"/>
            <w:tcBorders>
              <w:top w:val="nil"/>
              <w:left w:val="nil"/>
              <w:bottom w:val="single" w:sz="4" w:space="0" w:color="auto"/>
              <w:right w:val="single" w:sz="4" w:space="0" w:color="auto"/>
            </w:tcBorders>
            <w:shd w:val="clear" w:color="auto" w:fill="auto"/>
            <w:noWrap/>
            <w:vAlign w:val="bottom"/>
            <w:hideMark/>
          </w:tcPr>
          <w:p w14:paraId="64ED6C4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-16.0%</w:t>
            </w:r>
          </w:p>
        </w:tc>
        <w:tc>
          <w:tcPr>
            <w:tcW w:w="1276" w:type="dxa"/>
            <w:tcBorders>
              <w:top w:val="nil"/>
              <w:left w:val="nil"/>
              <w:bottom w:val="single" w:sz="4" w:space="0" w:color="auto"/>
              <w:right w:val="single" w:sz="4" w:space="0" w:color="auto"/>
            </w:tcBorders>
            <w:shd w:val="clear" w:color="auto" w:fill="auto"/>
            <w:noWrap/>
            <w:vAlign w:val="bottom"/>
            <w:hideMark/>
          </w:tcPr>
          <w:p w14:paraId="035EBDF4"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-6.0%</w:t>
            </w:r>
          </w:p>
        </w:tc>
        <w:tc>
          <w:tcPr>
            <w:tcW w:w="1134" w:type="dxa"/>
            <w:tcBorders>
              <w:top w:val="nil"/>
              <w:left w:val="nil"/>
              <w:bottom w:val="single" w:sz="4" w:space="0" w:color="auto"/>
              <w:right w:val="single" w:sz="4" w:space="0" w:color="auto"/>
            </w:tcBorders>
            <w:shd w:val="clear" w:color="auto" w:fill="auto"/>
            <w:noWrap/>
            <w:vAlign w:val="bottom"/>
            <w:hideMark/>
          </w:tcPr>
          <w:p w14:paraId="64A9DFED"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-6.6%</w:t>
            </w:r>
          </w:p>
        </w:tc>
        <w:tc>
          <w:tcPr>
            <w:tcW w:w="1275" w:type="dxa"/>
            <w:tcBorders>
              <w:top w:val="nil"/>
              <w:left w:val="nil"/>
              <w:bottom w:val="single" w:sz="4" w:space="0" w:color="auto"/>
              <w:right w:val="single" w:sz="4" w:space="0" w:color="auto"/>
            </w:tcBorders>
            <w:shd w:val="clear" w:color="auto" w:fill="auto"/>
            <w:noWrap/>
            <w:vAlign w:val="bottom"/>
            <w:hideMark/>
          </w:tcPr>
          <w:p w14:paraId="64008054"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-6.6%</w:t>
            </w:r>
          </w:p>
        </w:tc>
      </w:tr>
      <w:tr w:rsidR="00495FB1" w:rsidRPr="00495FB1" w14:paraId="3A709EEF"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2012980"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Rural services delivery grant</w:t>
            </w:r>
          </w:p>
        </w:tc>
        <w:tc>
          <w:tcPr>
            <w:tcW w:w="1134" w:type="dxa"/>
            <w:tcBorders>
              <w:top w:val="nil"/>
              <w:left w:val="nil"/>
              <w:bottom w:val="single" w:sz="4" w:space="0" w:color="auto"/>
              <w:right w:val="single" w:sz="4" w:space="0" w:color="auto"/>
            </w:tcBorders>
            <w:shd w:val="clear" w:color="auto" w:fill="auto"/>
            <w:noWrap/>
            <w:vAlign w:val="bottom"/>
            <w:hideMark/>
          </w:tcPr>
          <w:p w14:paraId="21A1E540"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5AE4993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0ED7ED4B"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0CB6FCD6"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14:paraId="630E661F"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w:t>
            </w:r>
          </w:p>
        </w:tc>
      </w:tr>
      <w:tr w:rsidR="00495FB1" w:rsidRPr="00495FB1" w14:paraId="4E8FF421"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D8E1157" w14:textId="77777777" w:rsidR="00495FB1" w:rsidRPr="00495FB1" w:rsidRDefault="00495FB1" w:rsidP="00495FB1">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3BFA45"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FCDD5D"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C530BE"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EBE1E1"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4745746A" w14:textId="77777777" w:rsidR="00495FB1" w:rsidRPr="00495FB1" w:rsidRDefault="00495FB1" w:rsidP="00495FB1">
            <w:pPr>
              <w:spacing w:after="0" w:line="240" w:lineRule="auto"/>
              <w:jc w:val="right"/>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p>
        </w:tc>
      </w:tr>
      <w:tr w:rsidR="00495FB1" w:rsidRPr="00495FB1" w14:paraId="07A35F69" w14:textId="77777777" w:rsidTr="00495FB1">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39565DE" w14:textId="77777777" w:rsidR="00495FB1" w:rsidRPr="00495FB1" w:rsidRDefault="00495FB1" w:rsidP="00495FB1">
            <w:pPr>
              <w:spacing w:after="0" w:line="240" w:lineRule="auto"/>
              <w:rPr>
                <w:rFonts w:ascii="Arial" w:eastAsia="Times New Roman" w:hAnsi="Arial" w:cs="Arial"/>
                <w:b/>
                <w:bCs/>
                <w:i/>
                <w:iCs/>
                <w:color w:val="000000"/>
                <w:sz w:val="24"/>
                <w:szCs w:val="24"/>
                <w:lang w:val="en-GB" w:eastAsia="en-GB"/>
              </w:rPr>
            </w:pPr>
            <w:r w:rsidRPr="00495FB1">
              <w:rPr>
                <w:rFonts w:ascii="Arial" w:eastAsia="Times New Roman" w:hAnsi="Arial" w:cs="Arial"/>
                <w:b/>
                <w:bCs/>
                <w:i/>
                <w:iCs/>
                <w:color w:val="000000"/>
                <w:sz w:val="24"/>
                <w:szCs w:val="24"/>
                <w:lang w:val="en-GB" w:eastAsia="en-GB"/>
              </w:rPr>
              <w:t>Surplus / -Deficit</w:t>
            </w:r>
          </w:p>
        </w:tc>
        <w:tc>
          <w:tcPr>
            <w:tcW w:w="1134" w:type="dxa"/>
            <w:tcBorders>
              <w:top w:val="nil"/>
              <w:left w:val="nil"/>
              <w:bottom w:val="single" w:sz="4" w:space="0" w:color="auto"/>
              <w:right w:val="single" w:sz="4" w:space="0" w:color="auto"/>
            </w:tcBorders>
            <w:shd w:val="clear" w:color="auto" w:fill="auto"/>
            <w:noWrap/>
            <w:vAlign w:val="bottom"/>
            <w:hideMark/>
          </w:tcPr>
          <w:p w14:paraId="15719AE4" w14:textId="77777777" w:rsidR="00495FB1" w:rsidRPr="00495FB1" w:rsidRDefault="00495FB1" w:rsidP="00495FB1">
            <w:pPr>
              <w:spacing w:after="0" w:line="240" w:lineRule="auto"/>
              <w:jc w:val="right"/>
              <w:rPr>
                <w:rFonts w:ascii="Arial" w:eastAsia="Times New Roman" w:hAnsi="Arial" w:cs="Arial"/>
                <w:b/>
                <w:bCs/>
                <w:i/>
                <w:iCs/>
                <w:color w:val="000000"/>
                <w:sz w:val="24"/>
                <w:szCs w:val="24"/>
                <w:lang w:val="en-GB" w:eastAsia="en-GB"/>
              </w:rPr>
            </w:pPr>
            <w:r w:rsidRPr="00495FB1">
              <w:rPr>
                <w:rFonts w:ascii="Arial" w:eastAsia="Times New Roman" w:hAnsi="Arial" w:cs="Arial"/>
                <w:b/>
                <w:bCs/>
                <w:i/>
                <w:iCs/>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bottom"/>
            <w:hideMark/>
          </w:tcPr>
          <w:p w14:paraId="424FDADE" w14:textId="77777777" w:rsidR="00495FB1" w:rsidRPr="00495FB1" w:rsidRDefault="00495FB1" w:rsidP="00495FB1">
            <w:pPr>
              <w:spacing w:after="0" w:line="240" w:lineRule="auto"/>
              <w:jc w:val="right"/>
              <w:rPr>
                <w:rFonts w:ascii="Arial" w:eastAsia="Times New Roman" w:hAnsi="Arial" w:cs="Arial"/>
                <w:b/>
                <w:bCs/>
                <w:i/>
                <w:iCs/>
                <w:color w:val="000000"/>
                <w:sz w:val="24"/>
                <w:szCs w:val="24"/>
                <w:lang w:val="en-GB" w:eastAsia="en-GB"/>
              </w:rPr>
            </w:pPr>
            <w:r w:rsidRPr="00495FB1">
              <w:rPr>
                <w:rFonts w:ascii="Arial" w:eastAsia="Times New Roman" w:hAnsi="Arial" w:cs="Arial"/>
                <w:b/>
                <w:bCs/>
                <w:i/>
                <w:iCs/>
                <w:color w:val="000000"/>
                <w:sz w:val="24"/>
                <w:szCs w:val="24"/>
                <w:lang w:val="en-GB" w:eastAsia="en-GB"/>
              </w:rPr>
              <w:t>903</w:t>
            </w:r>
          </w:p>
        </w:tc>
        <w:tc>
          <w:tcPr>
            <w:tcW w:w="1276" w:type="dxa"/>
            <w:tcBorders>
              <w:top w:val="nil"/>
              <w:left w:val="nil"/>
              <w:bottom w:val="single" w:sz="4" w:space="0" w:color="auto"/>
              <w:right w:val="single" w:sz="4" w:space="0" w:color="auto"/>
            </w:tcBorders>
            <w:shd w:val="clear" w:color="auto" w:fill="auto"/>
            <w:noWrap/>
            <w:vAlign w:val="bottom"/>
            <w:hideMark/>
          </w:tcPr>
          <w:p w14:paraId="0C8C5FC7" w14:textId="77777777" w:rsidR="00495FB1" w:rsidRPr="00495FB1" w:rsidRDefault="00495FB1" w:rsidP="00495FB1">
            <w:pPr>
              <w:spacing w:after="0" w:line="240" w:lineRule="auto"/>
              <w:jc w:val="right"/>
              <w:rPr>
                <w:rFonts w:ascii="Arial" w:eastAsia="Times New Roman" w:hAnsi="Arial" w:cs="Arial"/>
                <w:b/>
                <w:bCs/>
                <w:i/>
                <w:iCs/>
                <w:color w:val="000000"/>
                <w:sz w:val="24"/>
                <w:szCs w:val="24"/>
                <w:lang w:val="en-GB" w:eastAsia="en-GB"/>
              </w:rPr>
            </w:pPr>
            <w:r w:rsidRPr="00495FB1">
              <w:rPr>
                <w:rFonts w:ascii="Arial" w:eastAsia="Times New Roman" w:hAnsi="Arial" w:cs="Arial"/>
                <w:b/>
                <w:bCs/>
                <w:i/>
                <w:iCs/>
                <w:color w:val="000000"/>
                <w:sz w:val="24"/>
                <w:szCs w:val="24"/>
                <w:lang w:val="en-GB" w:eastAsia="en-GB"/>
              </w:rPr>
              <w:t>468</w:t>
            </w:r>
          </w:p>
        </w:tc>
        <w:tc>
          <w:tcPr>
            <w:tcW w:w="1134" w:type="dxa"/>
            <w:tcBorders>
              <w:top w:val="nil"/>
              <w:left w:val="nil"/>
              <w:bottom w:val="single" w:sz="4" w:space="0" w:color="auto"/>
              <w:right w:val="single" w:sz="4" w:space="0" w:color="auto"/>
            </w:tcBorders>
            <w:shd w:val="clear" w:color="auto" w:fill="auto"/>
            <w:noWrap/>
            <w:vAlign w:val="bottom"/>
            <w:hideMark/>
          </w:tcPr>
          <w:p w14:paraId="004302B4" w14:textId="77777777" w:rsidR="00495FB1" w:rsidRPr="00495FB1" w:rsidRDefault="00495FB1" w:rsidP="00495FB1">
            <w:pPr>
              <w:spacing w:after="0" w:line="240" w:lineRule="auto"/>
              <w:jc w:val="right"/>
              <w:rPr>
                <w:rFonts w:ascii="Arial" w:eastAsia="Times New Roman" w:hAnsi="Arial" w:cs="Arial"/>
                <w:b/>
                <w:bCs/>
                <w:i/>
                <w:iCs/>
                <w:color w:val="000000"/>
                <w:sz w:val="24"/>
                <w:szCs w:val="24"/>
                <w:lang w:val="en-GB" w:eastAsia="en-GB"/>
              </w:rPr>
            </w:pPr>
            <w:r w:rsidRPr="00495FB1">
              <w:rPr>
                <w:rFonts w:ascii="Arial" w:eastAsia="Times New Roman" w:hAnsi="Arial" w:cs="Arial"/>
                <w:b/>
                <w:bCs/>
                <w:i/>
                <w:iCs/>
                <w:color w:val="000000"/>
                <w:sz w:val="24"/>
                <w:szCs w:val="24"/>
                <w:lang w:val="en-GB" w:eastAsia="en-GB"/>
              </w:rPr>
              <w:t>363</w:t>
            </w:r>
          </w:p>
        </w:tc>
        <w:tc>
          <w:tcPr>
            <w:tcW w:w="1275" w:type="dxa"/>
            <w:tcBorders>
              <w:top w:val="nil"/>
              <w:left w:val="nil"/>
              <w:bottom w:val="single" w:sz="4" w:space="0" w:color="auto"/>
              <w:right w:val="single" w:sz="4" w:space="0" w:color="auto"/>
            </w:tcBorders>
            <w:shd w:val="clear" w:color="auto" w:fill="auto"/>
            <w:noWrap/>
            <w:vAlign w:val="bottom"/>
            <w:hideMark/>
          </w:tcPr>
          <w:p w14:paraId="25CB69B7" w14:textId="77777777" w:rsidR="00495FB1" w:rsidRPr="00495FB1" w:rsidRDefault="00495FB1" w:rsidP="00495FB1">
            <w:pPr>
              <w:spacing w:after="0" w:line="240" w:lineRule="auto"/>
              <w:jc w:val="right"/>
              <w:rPr>
                <w:rFonts w:ascii="Arial" w:eastAsia="Times New Roman" w:hAnsi="Arial" w:cs="Arial"/>
                <w:b/>
                <w:bCs/>
                <w:i/>
                <w:iCs/>
                <w:color w:val="000000"/>
                <w:sz w:val="24"/>
                <w:szCs w:val="24"/>
                <w:lang w:val="en-GB" w:eastAsia="en-GB"/>
              </w:rPr>
            </w:pPr>
            <w:r w:rsidRPr="00495FB1">
              <w:rPr>
                <w:rFonts w:ascii="Arial" w:eastAsia="Times New Roman" w:hAnsi="Arial" w:cs="Arial"/>
                <w:b/>
                <w:bCs/>
                <w:i/>
                <w:iCs/>
                <w:color w:val="000000"/>
                <w:sz w:val="24"/>
                <w:szCs w:val="24"/>
                <w:lang w:val="en-GB" w:eastAsia="en-GB"/>
              </w:rPr>
              <w:t>324</w:t>
            </w:r>
          </w:p>
        </w:tc>
      </w:tr>
    </w:tbl>
    <w:p w14:paraId="39915C5C" w14:textId="7C62A380" w:rsidR="00E371FB" w:rsidRPr="006122B0" w:rsidRDefault="00E371FB">
      <w:pPr>
        <w:rPr>
          <w:rFonts w:ascii="Arial" w:hAnsi="Arial" w:cs="Arial"/>
          <w:sz w:val="24"/>
          <w:szCs w:val="24"/>
        </w:rPr>
      </w:pPr>
    </w:p>
    <w:p w14:paraId="2826556A" w14:textId="055D2EB2" w:rsidR="00E371FB" w:rsidRDefault="00266D85" w:rsidP="00E371FB">
      <w:pPr>
        <w:rPr>
          <w:rFonts w:ascii="Arial" w:hAnsi="Arial" w:cs="Arial"/>
          <w:sz w:val="24"/>
          <w:szCs w:val="24"/>
        </w:rPr>
      </w:pPr>
      <w:r>
        <w:rPr>
          <w:rFonts w:ascii="Arial" w:hAnsi="Arial" w:cs="Arial"/>
          <w:sz w:val="24"/>
          <w:szCs w:val="24"/>
        </w:rPr>
        <w:t>Using the assumptions above, the graph below demonstrates that expenditure is within the resources available to 2022/23.</w:t>
      </w:r>
    </w:p>
    <w:p w14:paraId="7054EEE1" w14:textId="77777777" w:rsidR="00266D85" w:rsidRPr="006122B0" w:rsidRDefault="00266D85" w:rsidP="00E371FB">
      <w:pPr>
        <w:rPr>
          <w:rFonts w:ascii="Arial" w:hAnsi="Arial" w:cs="Arial"/>
          <w:sz w:val="24"/>
          <w:szCs w:val="24"/>
        </w:rPr>
      </w:pPr>
    </w:p>
    <w:p w14:paraId="3889D28F" w14:textId="52C913B4" w:rsidR="001C01B4" w:rsidRPr="006122B0" w:rsidRDefault="005A0BF8" w:rsidP="005A0BF8">
      <w:pPr>
        <w:rPr>
          <w:rFonts w:ascii="Arial" w:hAnsi="Arial" w:cs="Arial"/>
          <w:sz w:val="24"/>
          <w:szCs w:val="24"/>
        </w:rPr>
      </w:pPr>
      <w:r>
        <w:rPr>
          <w:noProof/>
          <w:lang w:val="en-GB" w:eastAsia="en-GB"/>
        </w:rPr>
        <w:drawing>
          <wp:inline distT="0" distB="0" distL="0" distR="0" wp14:anchorId="0705B956" wp14:editId="397718CC">
            <wp:extent cx="5943600" cy="2946400"/>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62DF5C" w14:textId="18DCCC51" w:rsidR="00266D85" w:rsidRDefault="00266D85">
      <w:pPr>
        <w:rPr>
          <w:rFonts w:ascii="Arial" w:hAnsi="Arial" w:cs="Arial"/>
          <w:sz w:val="24"/>
          <w:szCs w:val="24"/>
        </w:rPr>
      </w:pPr>
    </w:p>
    <w:p w14:paraId="13178159" w14:textId="6FDBF06C" w:rsidR="00266D85" w:rsidRDefault="00266D85" w:rsidP="001C01B4">
      <w:pPr>
        <w:rPr>
          <w:rFonts w:ascii="Arial" w:hAnsi="Arial" w:cs="Arial"/>
          <w:sz w:val="24"/>
          <w:szCs w:val="24"/>
        </w:rPr>
      </w:pPr>
      <w:r>
        <w:rPr>
          <w:rFonts w:ascii="Arial" w:hAnsi="Arial" w:cs="Arial"/>
          <w:sz w:val="24"/>
          <w:szCs w:val="24"/>
        </w:rPr>
        <w:t>In order the test the Authority’s financial resilience and ability to adapt to changing conditions, a number of scenarios are created which test the sensitivity to changes in planning assumptions.</w:t>
      </w:r>
    </w:p>
    <w:tbl>
      <w:tblPr>
        <w:tblW w:w="9634" w:type="dxa"/>
        <w:tblLook w:val="04A0" w:firstRow="1" w:lastRow="0" w:firstColumn="1" w:lastColumn="0" w:noHBand="0" w:noVBand="1"/>
      </w:tblPr>
      <w:tblGrid>
        <w:gridCol w:w="3539"/>
        <w:gridCol w:w="1134"/>
        <w:gridCol w:w="1276"/>
        <w:gridCol w:w="1276"/>
        <w:gridCol w:w="1134"/>
        <w:gridCol w:w="1275"/>
      </w:tblGrid>
      <w:tr w:rsidR="00266D85" w:rsidRPr="00495FB1" w14:paraId="69160DBC" w14:textId="77777777" w:rsidTr="00266D85">
        <w:trPr>
          <w:trHeight w:val="465"/>
        </w:trPr>
        <w:tc>
          <w:tcPr>
            <w:tcW w:w="3539" w:type="dxa"/>
            <w:tcBorders>
              <w:top w:val="single" w:sz="4" w:space="0" w:color="auto"/>
              <w:left w:val="single" w:sz="4" w:space="0" w:color="auto"/>
              <w:bottom w:val="single" w:sz="4" w:space="0" w:color="auto"/>
              <w:right w:val="single" w:sz="4" w:space="0" w:color="auto"/>
            </w:tcBorders>
            <w:shd w:val="clear" w:color="000000" w:fill="BDD7EE"/>
            <w:vAlign w:val="center"/>
          </w:tcPr>
          <w:p w14:paraId="43DD3B02" w14:textId="77777777" w:rsidR="00266D85" w:rsidRDefault="00266D85" w:rsidP="00266D85">
            <w:pPr>
              <w:spacing w:after="0" w:line="240" w:lineRule="auto"/>
              <w:rPr>
                <w:rFonts w:ascii="Arial" w:eastAsia="Times New Roman" w:hAnsi="Arial" w:cs="Arial"/>
                <w:b/>
                <w:bCs/>
                <w:color w:val="000000"/>
                <w:sz w:val="24"/>
                <w:szCs w:val="24"/>
                <w:lang w:val="en-GB" w:eastAsia="en-GB"/>
              </w:rPr>
            </w:pPr>
          </w:p>
        </w:tc>
        <w:tc>
          <w:tcPr>
            <w:tcW w:w="6095" w:type="dxa"/>
            <w:gridSpan w:val="5"/>
            <w:tcBorders>
              <w:top w:val="single" w:sz="4" w:space="0" w:color="auto"/>
              <w:left w:val="nil"/>
              <w:bottom w:val="single" w:sz="4" w:space="0" w:color="auto"/>
              <w:right w:val="single" w:sz="4" w:space="0" w:color="auto"/>
            </w:tcBorders>
            <w:shd w:val="clear" w:color="000000" w:fill="BDD7EE"/>
            <w:vAlign w:val="center"/>
          </w:tcPr>
          <w:p w14:paraId="47A03B77" w14:textId="77806B31" w:rsidR="00266D85" w:rsidRPr="00495FB1" w:rsidRDefault="00266D85" w:rsidP="00266D85">
            <w:pPr>
              <w:spacing w:after="0" w:line="240" w:lineRule="auto"/>
              <w:jc w:val="center"/>
              <w:rPr>
                <w:rFonts w:ascii="Arial" w:eastAsia="Times New Roman" w:hAnsi="Arial" w:cs="Arial"/>
                <w:b/>
                <w:bCs/>
                <w:color w:val="000000"/>
                <w:sz w:val="24"/>
                <w:szCs w:val="24"/>
                <w:lang w:val="en-GB" w:eastAsia="en-GB"/>
              </w:rPr>
            </w:pPr>
            <w:r>
              <w:rPr>
                <w:rFonts w:ascii="Arial" w:eastAsia="Times New Roman" w:hAnsi="Arial" w:cs="Arial"/>
                <w:b/>
                <w:bCs/>
                <w:color w:val="000000"/>
                <w:sz w:val="24"/>
                <w:szCs w:val="24"/>
                <w:lang w:val="en-GB" w:eastAsia="en-GB"/>
              </w:rPr>
              <w:t>Surplus / -Deficit</w:t>
            </w:r>
          </w:p>
        </w:tc>
      </w:tr>
      <w:tr w:rsidR="00266D85" w:rsidRPr="00495FB1" w14:paraId="0E3633A6" w14:textId="77777777" w:rsidTr="00266D85">
        <w:trPr>
          <w:trHeight w:val="698"/>
        </w:trPr>
        <w:tc>
          <w:tcPr>
            <w:tcW w:w="353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6A7F0B9" w14:textId="2AA5D054" w:rsidR="00266D85" w:rsidRPr="00495FB1" w:rsidRDefault="00266D85" w:rsidP="00266D85">
            <w:pPr>
              <w:spacing w:after="0" w:line="240" w:lineRule="auto"/>
              <w:rPr>
                <w:rFonts w:ascii="Arial" w:eastAsia="Times New Roman" w:hAnsi="Arial" w:cs="Arial"/>
                <w:b/>
                <w:bCs/>
                <w:color w:val="000000"/>
                <w:sz w:val="24"/>
                <w:szCs w:val="24"/>
                <w:lang w:val="en-GB" w:eastAsia="en-GB"/>
              </w:rPr>
            </w:pPr>
            <w:r>
              <w:rPr>
                <w:rFonts w:ascii="Arial" w:eastAsia="Times New Roman" w:hAnsi="Arial" w:cs="Arial"/>
                <w:b/>
                <w:bCs/>
                <w:color w:val="000000"/>
                <w:sz w:val="24"/>
                <w:szCs w:val="24"/>
                <w:lang w:val="en-GB" w:eastAsia="en-GB"/>
              </w:rPr>
              <w:t xml:space="preserve">Changes in funding assumptions </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03CACDB1" w14:textId="77777777" w:rsidR="00266D85" w:rsidRPr="00495FB1" w:rsidRDefault="00266D85" w:rsidP="008F4E4C">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2018/19</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1641A2AB" w14:textId="77777777" w:rsidR="00266D85" w:rsidRPr="00495FB1" w:rsidRDefault="00266D85" w:rsidP="008F4E4C">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2019/20</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6F0A49C4" w14:textId="77777777" w:rsidR="00266D85" w:rsidRPr="00495FB1" w:rsidRDefault="00266D85" w:rsidP="008F4E4C">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2020/21</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78BCE7A0" w14:textId="77777777" w:rsidR="00266D85" w:rsidRPr="00495FB1" w:rsidRDefault="00266D85" w:rsidP="008F4E4C">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2021/22</w:t>
            </w:r>
          </w:p>
        </w:tc>
        <w:tc>
          <w:tcPr>
            <w:tcW w:w="1275" w:type="dxa"/>
            <w:tcBorders>
              <w:top w:val="single" w:sz="4" w:space="0" w:color="auto"/>
              <w:left w:val="nil"/>
              <w:bottom w:val="single" w:sz="4" w:space="0" w:color="auto"/>
              <w:right w:val="single" w:sz="4" w:space="0" w:color="auto"/>
            </w:tcBorders>
            <w:shd w:val="clear" w:color="000000" w:fill="BDD7EE"/>
            <w:vAlign w:val="center"/>
            <w:hideMark/>
          </w:tcPr>
          <w:p w14:paraId="020ED60C" w14:textId="77777777" w:rsidR="00266D85" w:rsidRPr="00495FB1" w:rsidRDefault="00266D85" w:rsidP="008F4E4C">
            <w:pPr>
              <w:spacing w:after="0" w:line="240" w:lineRule="auto"/>
              <w:jc w:val="right"/>
              <w:rPr>
                <w:rFonts w:ascii="Arial" w:eastAsia="Times New Roman" w:hAnsi="Arial" w:cs="Arial"/>
                <w:b/>
                <w:bCs/>
                <w:color w:val="000000"/>
                <w:sz w:val="24"/>
                <w:szCs w:val="24"/>
                <w:lang w:val="en-GB" w:eastAsia="en-GB"/>
              </w:rPr>
            </w:pPr>
            <w:r w:rsidRPr="00495FB1">
              <w:rPr>
                <w:rFonts w:ascii="Arial" w:eastAsia="Times New Roman" w:hAnsi="Arial" w:cs="Arial"/>
                <w:b/>
                <w:bCs/>
                <w:color w:val="000000"/>
                <w:sz w:val="24"/>
                <w:szCs w:val="24"/>
                <w:lang w:val="en-GB" w:eastAsia="en-GB"/>
              </w:rPr>
              <w:br/>
              <w:t>2022/23</w:t>
            </w:r>
          </w:p>
        </w:tc>
      </w:tr>
      <w:tr w:rsidR="00266D85" w:rsidRPr="00495FB1" w14:paraId="15989FF5" w14:textId="77777777" w:rsidTr="00266D85">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45608CDD" w14:textId="70A70AF6" w:rsidR="00266D85" w:rsidRDefault="00266D85" w:rsidP="008F4E4C">
            <w:pPr>
              <w:spacing w:after="0" w:line="240" w:lineRule="auto"/>
              <w:rPr>
                <w:rFonts w:ascii="Arial" w:eastAsia="Times New Roman" w:hAnsi="Arial" w:cs="Arial"/>
                <w:color w:val="000000"/>
                <w:sz w:val="24"/>
                <w:szCs w:val="24"/>
                <w:lang w:val="en-GB" w:eastAsia="en-GB"/>
              </w:rPr>
            </w:pPr>
          </w:p>
          <w:p w14:paraId="1476DFD3" w14:textId="2F7562EB" w:rsidR="00266D85" w:rsidRDefault="00266D85"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Current</w:t>
            </w:r>
          </w:p>
          <w:p w14:paraId="540A3576" w14:textId="1B3D29BC" w:rsidR="00266D85" w:rsidRDefault="00266D85" w:rsidP="00725C16">
            <w:pPr>
              <w:spacing w:after="0" w:line="240" w:lineRule="auto"/>
              <w:rPr>
                <w:rFonts w:ascii="Arial" w:eastAsia="Times New Roman" w:hAnsi="Arial" w:cs="Arial"/>
                <w:color w:val="000000"/>
                <w:sz w:val="24"/>
                <w:szCs w:val="24"/>
                <w:lang w:val="en-GB" w:eastAsia="en-GB"/>
              </w:rPr>
            </w:pPr>
          </w:p>
        </w:tc>
        <w:tc>
          <w:tcPr>
            <w:tcW w:w="1134" w:type="dxa"/>
            <w:tcBorders>
              <w:top w:val="nil"/>
              <w:left w:val="nil"/>
              <w:bottom w:val="single" w:sz="4" w:space="0" w:color="auto"/>
              <w:right w:val="single" w:sz="4" w:space="0" w:color="auto"/>
            </w:tcBorders>
            <w:shd w:val="clear" w:color="auto" w:fill="auto"/>
            <w:noWrap/>
            <w:vAlign w:val="center"/>
          </w:tcPr>
          <w:p w14:paraId="26B1D89E" w14:textId="2408DCAB" w:rsidR="00266D85"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center"/>
          </w:tcPr>
          <w:p w14:paraId="0FCFFCB1" w14:textId="0306528F" w:rsidR="00266D85"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903</w:t>
            </w:r>
          </w:p>
        </w:tc>
        <w:tc>
          <w:tcPr>
            <w:tcW w:w="1276" w:type="dxa"/>
            <w:tcBorders>
              <w:top w:val="nil"/>
              <w:left w:val="nil"/>
              <w:bottom w:val="single" w:sz="4" w:space="0" w:color="auto"/>
              <w:right w:val="single" w:sz="4" w:space="0" w:color="auto"/>
            </w:tcBorders>
            <w:shd w:val="clear" w:color="auto" w:fill="auto"/>
            <w:noWrap/>
            <w:vAlign w:val="center"/>
          </w:tcPr>
          <w:p w14:paraId="391DDD3B" w14:textId="2499E189" w:rsidR="00266D85"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468</w:t>
            </w:r>
          </w:p>
        </w:tc>
        <w:tc>
          <w:tcPr>
            <w:tcW w:w="1134" w:type="dxa"/>
            <w:tcBorders>
              <w:top w:val="nil"/>
              <w:left w:val="nil"/>
              <w:bottom w:val="single" w:sz="4" w:space="0" w:color="auto"/>
              <w:right w:val="single" w:sz="4" w:space="0" w:color="auto"/>
            </w:tcBorders>
            <w:shd w:val="clear" w:color="auto" w:fill="auto"/>
            <w:noWrap/>
            <w:vAlign w:val="center"/>
          </w:tcPr>
          <w:p w14:paraId="49BCEC7C" w14:textId="3E6E1758" w:rsidR="00266D85"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363</w:t>
            </w:r>
          </w:p>
        </w:tc>
        <w:tc>
          <w:tcPr>
            <w:tcW w:w="1275" w:type="dxa"/>
            <w:tcBorders>
              <w:top w:val="nil"/>
              <w:left w:val="nil"/>
              <w:bottom w:val="single" w:sz="4" w:space="0" w:color="auto"/>
              <w:right w:val="single" w:sz="4" w:space="0" w:color="auto"/>
            </w:tcBorders>
            <w:shd w:val="clear" w:color="auto" w:fill="auto"/>
            <w:noWrap/>
            <w:vAlign w:val="center"/>
          </w:tcPr>
          <w:p w14:paraId="6FC938E5" w14:textId="20825BE5" w:rsidR="00266D85"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324</w:t>
            </w:r>
          </w:p>
        </w:tc>
      </w:tr>
      <w:tr w:rsidR="00266D85" w:rsidRPr="00495FB1" w14:paraId="60CB70BA" w14:textId="77777777" w:rsidTr="00266D85">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4FAD118E" w14:textId="199EA384" w:rsidR="00266D85" w:rsidRDefault="00266D85"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Current, with IRMP savings from shift pattern changes moved from 19/20 to 20/21</w:t>
            </w:r>
          </w:p>
        </w:tc>
        <w:tc>
          <w:tcPr>
            <w:tcW w:w="1134" w:type="dxa"/>
            <w:tcBorders>
              <w:top w:val="nil"/>
              <w:left w:val="nil"/>
              <w:bottom w:val="single" w:sz="4" w:space="0" w:color="auto"/>
              <w:right w:val="single" w:sz="4" w:space="0" w:color="auto"/>
            </w:tcBorders>
            <w:shd w:val="clear" w:color="auto" w:fill="auto"/>
            <w:noWrap/>
            <w:vAlign w:val="center"/>
          </w:tcPr>
          <w:p w14:paraId="3D8741C3" w14:textId="1348015A" w:rsidR="00266D85"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center"/>
          </w:tcPr>
          <w:p w14:paraId="08F2B321" w14:textId="4C689C62" w:rsidR="00266D85"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453</w:t>
            </w:r>
          </w:p>
        </w:tc>
        <w:tc>
          <w:tcPr>
            <w:tcW w:w="1276" w:type="dxa"/>
            <w:tcBorders>
              <w:top w:val="nil"/>
              <w:left w:val="nil"/>
              <w:bottom w:val="single" w:sz="4" w:space="0" w:color="auto"/>
              <w:right w:val="single" w:sz="4" w:space="0" w:color="auto"/>
            </w:tcBorders>
            <w:shd w:val="clear" w:color="auto" w:fill="auto"/>
            <w:noWrap/>
            <w:vAlign w:val="center"/>
          </w:tcPr>
          <w:p w14:paraId="61CEB1EF" w14:textId="64442867" w:rsidR="00266D85"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468</w:t>
            </w:r>
          </w:p>
        </w:tc>
        <w:tc>
          <w:tcPr>
            <w:tcW w:w="1134" w:type="dxa"/>
            <w:tcBorders>
              <w:top w:val="nil"/>
              <w:left w:val="nil"/>
              <w:bottom w:val="single" w:sz="4" w:space="0" w:color="auto"/>
              <w:right w:val="single" w:sz="4" w:space="0" w:color="auto"/>
            </w:tcBorders>
            <w:shd w:val="clear" w:color="auto" w:fill="auto"/>
            <w:noWrap/>
            <w:vAlign w:val="center"/>
          </w:tcPr>
          <w:p w14:paraId="518CF976" w14:textId="25CED83A" w:rsidR="00266D85"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363</w:t>
            </w:r>
          </w:p>
        </w:tc>
        <w:tc>
          <w:tcPr>
            <w:tcW w:w="1275" w:type="dxa"/>
            <w:tcBorders>
              <w:top w:val="nil"/>
              <w:left w:val="nil"/>
              <w:bottom w:val="single" w:sz="4" w:space="0" w:color="auto"/>
              <w:right w:val="single" w:sz="4" w:space="0" w:color="auto"/>
            </w:tcBorders>
            <w:shd w:val="clear" w:color="auto" w:fill="auto"/>
            <w:noWrap/>
            <w:vAlign w:val="center"/>
          </w:tcPr>
          <w:p w14:paraId="284B0354" w14:textId="0B49F6A0" w:rsidR="00266D85"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324</w:t>
            </w:r>
          </w:p>
        </w:tc>
      </w:tr>
      <w:tr w:rsidR="00266D85" w:rsidRPr="00495FB1" w14:paraId="64C98891" w14:textId="77777777" w:rsidTr="00266D85">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042B6BF" w14:textId="1A695E82" w:rsidR="00266D85" w:rsidRDefault="00266D85"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Option 1</w:t>
            </w:r>
          </w:p>
          <w:p w14:paraId="50681E01" w14:textId="2090B979" w:rsidR="00266D85" w:rsidRPr="00495FB1" w:rsidRDefault="00266D85"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Increase reduction in RSG from 6% to 10% </w:t>
            </w:r>
            <w:r w:rsidR="00725C16">
              <w:rPr>
                <w:rFonts w:ascii="Arial" w:eastAsia="Times New Roman" w:hAnsi="Arial" w:cs="Arial"/>
                <w:color w:val="000000"/>
                <w:sz w:val="24"/>
                <w:szCs w:val="24"/>
                <w:lang w:val="en-GB" w:eastAsia="en-GB"/>
              </w:rPr>
              <w:t xml:space="preserve">per year </w:t>
            </w:r>
            <w:r>
              <w:rPr>
                <w:rFonts w:ascii="Arial" w:eastAsia="Times New Roman" w:hAnsi="Arial" w:cs="Arial"/>
                <w:color w:val="000000"/>
                <w:sz w:val="24"/>
                <w:szCs w:val="24"/>
                <w:lang w:val="en-GB" w:eastAsia="en-GB"/>
              </w:rPr>
              <w:t>from 20/21</w:t>
            </w:r>
          </w:p>
        </w:tc>
        <w:tc>
          <w:tcPr>
            <w:tcW w:w="1134" w:type="dxa"/>
            <w:tcBorders>
              <w:top w:val="nil"/>
              <w:left w:val="nil"/>
              <w:bottom w:val="single" w:sz="4" w:space="0" w:color="auto"/>
              <w:right w:val="single" w:sz="4" w:space="0" w:color="auto"/>
            </w:tcBorders>
            <w:shd w:val="clear" w:color="auto" w:fill="auto"/>
            <w:noWrap/>
            <w:vAlign w:val="center"/>
          </w:tcPr>
          <w:p w14:paraId="4553EDC5" w14:textId="4DACB135" w:rsidR="00266D85" w:rsidRPr="00495FB1"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center"/>
          </w:tcPr>
          <w:p w14:paraId="3FD57D80" w14:textId="751727AD" w:rsidR="00266D85" w:rsidRPr="00495FB1"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453</w:t>
            </w:r>
          </w:p>
        </w:tc>
        <w:tc>
          <w:tcPr>
            <w:tcW w:w="1276" w:type="dxa"/>
            <w:tcBorders>
              <w:top w:val="nil"/>
              <w:left w:val="nil"/>
              <w:bottom w:val="single" w:sz="4" w:space="0" w:color="auto"/>
              <w:right w:val="single" w:sz="4" w:space="0" w:color="auto"/>
            </w:tcBorders>
            <w:shd w:val="clear" w:color="auto" w:fill="auto"/>
            <w:noWrap/>
            <w:vAlign w:val="center"/>
          </w:tcPr>
          <w:p w14:paraId="7C3C76A8" w14:textId="145A077E" w:rsidR="00266D85" w:rsidRPr="00495FB1"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416</w:t>
            </w:r>
          </w:p>
        </w:tc>
        <w:tc>
          <w:tcPr>
            <w:tcW w:w="1134" w:type="dxa"/>
            <w:tcBorders>
              <w:top w:val="nil"/>
              <w:left w:val="nil"/>
              <w:bottom w:val="single" w:sz="4" w:space="0" w:color="auto"/>
              <w:right w:val="single" w:sz="4" w:space="0" w:color="auto"/>
            </w:tcBorders>
            <w:shd w:val="clear" w:color="auto" w:fill="auto"/>
            <w:noWrap/>
            <w:vAlign w:val="center"/>
          </w:tcPr>
          <w:p w14:paraId="36A0FF19" w14:textId="5CDE3920" w:rsidR="00266D85" w:rsidRPr="00495FB1"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273</w:t>
            </w:r>
          </w:p>
        </w:tc>
        <w:tc>
          <w:tcPr>
            <w:tcW w:w="1275" w:type="dxa"/>
            <w:tcBorders>
              <w:top w:val="nil"/>
              <w:left w:val="nil"/>
              <w:bottom w:val="single" w:sz="4" w:space="0" w:color="auto"/>
              <w:right w:val="single" w:sz="4" w:space="0" w:color="auto"/>
            </w:tcBorders>
            <w:shd w:val="clear" w:color="auto" w:fill="auto"/>
            <w:noWrap/>
            <w:vAlign w:val="center"/>
          </w:tcPr>
          <w:p w14:paraId="5967237E" w14:textId="54425DFC" w:rsidR="00266D85" w:rsidRPr="00495FB1" w:rsidRDefault="00266D85"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210</w:t>
            </w:r>
          </w:p>
        </w:tc>
      </w:tr>
      <w:tr w:rsidR="00266D85" w:rsidRPr="00495FB1" w14:paraId="289241F5" w14:textId="77777777" w:rsidTr="00266D85">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60CF0E6" w14:textId="09827569" w:rsidR="00266D85" w:rsidRDefault="00725C16"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Option 2</w:t>
            </w:r>
          </w:p>
          <w:p w14:paraId="2288FCD1" w14:textId="6B282435" w:rsidR="00725C16" w:rsidRPr="00495FB1" w:rsidRDefault="00725C16"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Increase reduction in RSG from 6% to 15% per year from 20/21</w:t>
            </w:r>
          </w:p>
        </w:tc>
        <w:tc>
          <w:tcPr>
            <w:tcW w:w="1134" w:type="dxa"/>
            <w:tcBorders>
              <w:top w:val="nil"/>
              <w:left w:val="nil"/>
              <w:bottom w:val="single" w:sz="4" w:space="0" w:color="auto"/>
              <w:right w:val="single" w:sz="4" w:space="0" w:color="auto"/>
            </w:tcBorders>
            <w:shd w:val="clear" w:color="auto" w:fill="auto"/>
            <w:noWrap/>
            <w:vAlign w:val="center"/>
          </w:tcPr>
          <w:p w14:paraId="7C57A51B" w14:textId="7E01E981"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center"/>
          </w:tcPr>
          <w:p w14:paraId="4965EC14" w14:textId="2A67FB91"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453</w:t>
            </w:r>
          </w:p>
        </w:tc>
        <w:tc>
          <w:tcPr>
            <w:tcW w:w="1276" w:type="dxa"/>
            <w:tcBorders>
              <w:top w:val="nil"/>
              <w:left w:val="nil"/>
              <w:bottom w:val="single" w:sz="4" w:space="0" w:color="auto"/>
              <w:right w:val="single" w:sz="4" w:space="0" w:color="auto"/>
            </w:tcBorders>
            <w:shd w:val="clear" w:color="auto" w:fill="auto"/>
            <w:noWrap/>
            <w:vAlign w:val="center"/>
          </w:tcPr>
          <w:p w14:paraId="661E8B10" w14:textId="722AAD55"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351</w:t>
            </w:r>
          </w:p>
        </w:tc>
        <w:tc>
          <w:tcPr>
            <w:tcW w:w="1134" w:type="dxa"/>
            <w:tcBorders>
              <w:top w:val="nil"/>
              <w:left w:val="nil"/>
              <w:bottom w:val="single" w:sz="4" w:space="0" w:color="auto"/>
              <w:right w:val="single" w:sz="4" w:space="0" w:color="auto"/>
            </w:tcBorders>
            <w:shd w:val="clear" w:color="auto" w:fill="auto"/>
            <w:noWrap/>
            <w:vAlign w:val="center"/>
          </w:tcPr>
          <w:p w14:paraId="3CC9CFD0" w14:textId="6A4896E7"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160</w:t>
            </w:r>
          </w:p>
        </w:tc>
        <w:tc>
          <w:tcPr>
            <w:tcW w:w="1275" w:type="dxa"/>
            <w:tcBorders>
              <w:top w:val="nil"/>
              <w:left w:val="nil"/>
              <w:bottom w:val="single" w:sz="4" w:space="0" w:color="auto"/>
              <w:right w:val="single" w:sz="4" w:space="0" w:color="auto"/>
            </w:tcBorders>
            <w:shd w:val="clear" w:color="auto" w:fill="auto"/>
            <w:noWrap/>
            <w:vAlign w:val="center"/>
          </w:tcPr>
          <w:p w14:paraId="253620BA" w14:textId="7DD21406"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61</w:t>
            </w:r>
          </w:p>
        </w:tc>
      </w:tr>
      <w:tr w:rsidR="00266D85" w:rsidRPr="00495FB1" w14:paraId="16DE7D17" w14:textId="77777777" w:rsidTr="00266D85">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EFBD82C" w14:textId="3A55C961" w:rsidR="00725C16" w:rsidRDefault="00266D85" w:rsidP="008F4E4C">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w:t>
            </w:r>
            <w:r w:rsidR="00725C16">
              <w:rPr>
                <w:rFonts w:ascii="Arial" w:eastAsia="Times New Roman" w:hAnsi="Arial" w:cs="Arial"/>
                <w:color w:val="000000"/>
                <w:sz w:val="24"/>
                <w:szCs w:val="24"/>
                <w:lang w:val="en-GB" w:eastAsia="en-GB"/>
              </w:rPr>
              <w:t>Option 3</w:t>
            </w:r>
          </w:p>
          <w:p w14:paraId="0DF92B4C" w14:textId="32FF8DD5" w:rsidR="00725C16" w:rsidRPr="00495FB1" w:rsidRDefault="00725C16"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Reduce total funding (RSG, top up grant and business rates) by 5% per year from 20/21</w:t>
            </w:r>
          </w:p>
        </w:tc>
        <w:tc>
          <w:tcPr>
            <w:tcW w:w="1134" w:type="dxa"/>
            <w:tcBorders>
              <w:top w:val="nil"/>
              <w:left w:val="nil"/>
              <w:bottom w:val="single" w:sz="4" w:space="0" w:color="auto"/>
              <w:right w:val="single" w:sz="4" w:space="0" w:color="auto"/>
            </w:tcBorders>
            <w:shd w:val="clear" w:color="auto" w:fill="auto"/>
            <w:noWrap/>
            <w:vAlign w:val="center"/>
          </w:tcPr>
          <w:p w14:paraId="2AFECD8A" w14:textId="10F0E558"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center"/>
          </w:tcPr>
          <w:p w14:paraId="0C1FF330" w14:textId="049B26F5"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453</w:t>
            </w:r>
          </w:p>
        </w:tc>
        <w:tc>
          <w:tcPr>
            <w:tcW w:w="1276" w:type="dxa"/>
            <w:tcBorders>
              <w:top w:val="nil"/>
              <w:left w:val="nil"/>
              <w:bottom w:val="single" w:sz="4" w:space="0" w:color="auto"/>
              <w:right w:val="single" w:sz="4" w:space="0" w:color="auto"/>
            </w:tcBorders>
            <w:shd w:val="clear" w:color="auto" w:fill="auto"/>
            <w:noWrap/>
            <w:vAlign w:val="center"/>
          </w:tcPr>
          <w:p w14:paraId="40C139ED" w14:textId="4F322B24"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455</w:t>
            </w:r>
          </w:p>
        </w:tc>
        <w:tc>
          <w:tcPr>
            <w:tcW w:w="1134" w:type="dxa"/>
            <w:tcBorders>
              <w:top w:val="nil"/>
              <w:left w:val="nil"/>
              <w:bottom w:val="single" w:sz="4" w:space="0" w:color="auto"/>
              <w:right w:val="single" w:sz="4" w:space="0" w:color="auto"/>
            </w:tcBorders>
            <w:shd w:val="clear" w:color="auto" w:fill="auto"/>
            <w:noWrap/>
            <w:vAlign w:val="center"/>
          </w:tcPr>
          <w:p w14:paraId="4FD8097F" w14:textId="52ADEF60"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91</w:t>
            </w:r>
          </w:p>
        </w:tc>
        <w:tc>
          <w:tcPr>
            <w:tcW w:w="1275" w:type="dxa"/>
            <w:tcBorders>
              <w:top w:val="nil"/>
              <w:left w:val="nil"/>
              <w:bottom w:val="single" w:sz="4" w:space="0" w:color="auto"/>
              <w:right w:val="single" w:sz="4" w:space="0" w:color="auto"/>
            </w:tcBorders>
            <w:shd w:val="clear" w:color="auto" w:fill="auto"/>
            <w:noWrap/>
            <w:vAlign w:val="center"/>
          </w:tcPr>
          <w:p w14:paraId="2DF12328" w14:textId="75C513E8"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-197</w:t>
            </w:r>
          </w:p>
        </w:tc>
      </w:tr>
      <w:tr w:rsidR="00266D85" w:rsidRPr="00495FB1" w14:paraId="4AA0477B" w14:textId="77777777" w:rsidTr="00A47EED">
        <w:trPr>
          <w:trHeight w:val="312"/>
        </w:trPr>
        <w:tc>
          <w:tcPr>
            <w:tcW w:w="3539" w:type="dxa"/>
            <w:tcBorders>
              <w:top w:val="nil"/>
              <w:left w:val="single" w:sz="4" w:space="0" w:color="auto"/>
              <w:bottom w:val="nil"/>
              <w:right w:val="single" w:sz="4" w:space="0" w:color="auto"/>
            </w:tcBorders>
            <w:shd w:val="clear" w:color="auto" w:fill="auto"/>
            <w:noWrap/>
            <w:vAlign w:val="bottom"/>
            <w:hideMark/>
          </w:tcPr>
          <w:p w14:paraId="57D9CD45" w14:textId="59A4B48B" w:rsidR="00725C16" w:rsidRDefault="00725C16"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Option 4</w:t>
            </w:r>
          </w:p>
          <w:p w14:paraId="40B4F881" w14:textId="220195B5" w:rsidR="00725C16" w:rsidRDefault="00725C16"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Reduce total funding (RSG, top up grant and business rates) by 5% per year from 20/21</w:t>
            </w:r>
          </w:p>
          <w:p w14:paraId="31D90A69" w14:textId="762F29D2" w:rsidR="00725C16" w:rsidRDefault="00725C16"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Increase Council tax base growth from 0.8% to 2% in 19/20 and 1.5% in 20/21</w:t>
            </w:r>
          </w:p>
          <w:p w14:paraId="7071A0BD" w14:textId="36182896" w:rsidR="00266D85" w:rsidRPr="00495FB1" w:rsidRDefault="00266D85" w:rsidP="008F4E4C">
            <w:pPr>
              <w:spacing w:after="0" w:line="240" w:lineRule="auto"/>
              <w:rPr>
                <w:rFonts w:ascii="Arial" w:eastAsia="Times New Roman" w:hAnsi="Arial" w:cs="Arial"/>
                <w:color w:val="000000"/>
                <w:sz w:val="24"/>
                <w:szCs w:val="24"/>
                <w:lang w:val="en-GB" w:eastAsia="en-GB"/>
              </w:rPr>
            </w:pPr>
            <w:r w:rsidRPr="00495FB1">
              <w:rPr>
                <w:rFonts w:ascii="Arial" w:eastAsia="Times New Roman" w:hAnsi="Arial" w:cs="Arial"/>
                <w:color w:val="000000"/>
                <w:sz w:val="24"/>
                <w:szCs w:val="24"/>
                <w:lang w:val="en-GB" w:eastAsia="en-GB"/>
              </w:rPr>
              <w:t xml:space="preserve"> </w:t>
            </w:r>
          </w:p>
        </w:tc>
        <w:tc>
          <w:tcPr>
            <w:tcW w:w="1134" w:type="dxa"/>
            <w:tcBorders>
              <w:top w:val="nil"/>
              <w:left w:val="nil"/>
              <w:bottom w:val="nil"/>
              <w:right w:val="single" w:sz="4" w:space="0" w:color="auto"/>
            </w:tcBorders>
            <w:shd w:val="clear" w:color="auto" w:fill="auto"/>
            <w:noWrap/>
            <w:vAlign w:val="center"/>
          </w:tcPr>
          <w:p w14:paraId="52305424" w14:textId="0A645002"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nil"/>
              <w:right w:val="single" w:sz="4" w:space="0" w:color="auto"/>
            </w:tcBorders>
            <w:shd w:val="clear" w:color="auto" w:fill="auto"/>
            <w:noWrap/>
            <w:vAlign w:val="center"/>
          </w:tcPr>
          <w:p w14:paraId="2318CF0F" w14:textId="455E13CD"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644</w:t>
            </w:r>
          </w:p>
        </w:tc>
        <w:tc>
          <w:tcPr>
            <w:tcW w:w="1276" w:type="dxa"/>
            <w:tcBorders>
              <w:top w:val="nil"/>
              <w:left w:val="nil"/>
              <w:bottom w:val="nil"/>
              <w:right w:val="single" w:sz="4" w:space="0" w:color="auto"/>
            </w:tcBorders>
            <w:shd w:val="clear" w:color="auto" w:fill="auto"/>
            <w:noWrap/>
            <w:vAlign w:val="center"/>
          </w:tcPr>
          <w:p w14:paraId="09CC2E19" w14:textId="452A665B"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767</w:t>
            </w:r>
          </w:p>
        </w:tc>
        <w:tc>
          <w:tcPr>
            <w:tcW w:w="1134" w:type="dxa"/>
            <w:tcBorders>
              <w:top w:val="nil"/>
              <w:left w:val="nil"/>
              <w:bottom w:val="nil"/>
              <w:right w:val="single" w:sz="4" w:space="0" w:color="auto"/>
            </w:tcBorders>
            <w:shd w:val="clear" w:color="auto" w:fill="auto"/>
            <w:noWrap/>
            <w:vAlign w:val="center"/>
          </w:tcPr>
          <w:p w14:paraId="791118AB" w14:textId="06A58475"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412</w:t>
            </w:r>
          </w:p>
        </w:tc>
        <w:tc>
          <w:tcPr>
            <w:tcW w:w="1275" w:type="dxa"/>
            <w:tcBorders>
              <w:top w:val="nil"/>
              <w:left w:val="nil"/>
              <w:bottom w:val="nil"/>
              <w:right w:val="single" w:sz="4" w:space="0" w:color="auto"/>
            </w:tcBorders>
            <w:shd w:val="clear" w:color="auto" w:fill="auto"/>
            <w:noWrap/>
            <w:vAlign w:val="center"/>
          </w:tcPr>
          <w:p w14:paraId="1FEC630A" w14:textId="16D7365A" w:rsidR="00266D85" w:rsidRPr="00495FB1" w:rsidRDefault="00725C16" w:rsidP="00266D85">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132</w:t>
            </w:r>
          </w:p>
        </w:tc>
      </w:tr>
      <w:tr w:rsidR="00A47EED" w:rsidRPr="00495FB1" w14:paraId="465F029C" w14:textId="77777777" w:rsidTr="00266D85">
        <w:trPr>
          <w:trHeight w:val="312"/>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49942AED" w14:textId="2B737BA9" w:rsidR="00A47EED" w:rsidRDefault="00A47EED" w:rsidP="008F4E4C">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Option 5</w:t>
            </w:r>
          </w:p>
          <w:p w14:paraId="218DE016" w14:textId="425FB20B" w:rsidR="00A47EED" w:rsidRDefault="00A47EED" w:rsidP="00A47EED">
            <w:pPr>
              <w:spacing w:after="0" w:line="240" w:lineRule="auto"/>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As option 4, with pay award of 3%</w:t>
            </w:r>
          </w:p>
        </w:tc>
        <w:tc>
          <w:tcPr>
            <w:tcW w:w="1134" w:type="dxa"/>
            <w:tcBorders>
              <w:top w:val="nil"/>
              <w:left w:val="nil"/>
              <w:bottom w:val="single" w:sz="4" w:space="0" w:color="auto"/>
              <w:right w:val="single" w:sz="4" w:space="0" w:color="auto"/>
            </w:tcBorders>
            <w:shd w:val="clear" w:color="auto" w:fill="auto"/>
            <w:noWrap/>
            <w:vAlign w:val="center"/>
          </w:tcPr>
          <w:p w14:paraId="5ADA6310" w14:textId="5723F52B" w:rsidR="00A47EED" w:rsidRDefault="00A47EED" w:rsidP="00A47EED">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1,035</w:t>
            </w:r>
          </w:p>
        </w:tc>
        <w:tc>
          <w:tcPr>
            <w:tcW w:w="1276" w:type="dxa"/>
            <w:tcBorders>
              <w:top w:val="nil"/>
              <w:left w:val="nil"/>
              <w:bottom w:val="single" w:sz="4" w:space="0" w:color="auto"/>
              <w:right w:val="single" w:sz="4" w:space="0" w:color="auto"/>
            </w:tcBorders>
            <w:shd w:val="clear" w:color="auto" w:fill="auto"/>
            <w:noWrap/>
            <w:vAlign w:val="center"/>
          </w:tcPr>
          <w:p w14:paraId="07174A10" w14:textId="19814844" w:rsidR="00A47EED" w:rsidRDefault="00A47EED" w:rsidP="00A47EED">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528</w:t>
            </w:r>
          </w:p>
        </w:tc>
        <w:tc>
          <w:tcPr>
            <w:tcW w:w="1276" w:type="dxa"/>
            <w:tcBorders>
              <w:top w:val="nil"/>
              <w:left w:val="nil"/>
              <w:bottom w:val="single" w:sz="4" w:space="0" w:color="auto"/>
              <w:right w:val="single" w:sz="4" w:space="0" w:color="auto"/>
            </w:tcBorders>
            <w:shd w:val="clear" w:color="auto" w:fill="auto"/>
            <w:noWrap/>
            <w:vAlign w:val="center"/>
          </w:tcPr>
          <w:p w14:paraId="2380F4D9" w14:textId="0FBE23C9" w:rsidR="00A47EED" w:rsidRDefault="00A47EED" w:rsidP="00A47EED">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498</w:t>
            </w:r>
          </w:p>
        </w:tc>
        <w:tc>
          <w:tcPr>
            <w:tcW w:w="1134" w:type="dxa"/>
            <w:tcBorders>
              <w:top w:val="nil"/>
              <w:left w:val="nil"/>
              <w:bottom w:val="single" w:sz="4" w:space="0" w:color="auto"/>
              <w:right w:val="single" w:sz="4" w:space="0" w:color="auto"/>
            </w:tcBorders>
            <w:shd w:val="clear" w:color="auto" w:fill="auto"/>
            <w:noWrap/>
            <w:vAlign w:val="center"/>
          </w:tcPr>
          <w:p w14:paraId="253DE2AE" w14:textId="0C6F89A6" w:rsidR="00A47EED" w:rsidRDefault="00A47EED" w:rsidP="00A47EED">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107</w:t>
            </w:r>
          </w:p>
        </w:tc>
        <w:tc>
          <w:tcPr>
            <w:tcW w:w="1275" w:type="dxa"/>
            <w:tcBorders>
              <w:top w:val="nil"/>
              <w:left w:val="nil"/>
              <w:bottom w:val="single" w:sz="4" w:space="0" w:color="auto"/>
              <w:right w:val="single" w:sz="4" w:space="0" w:color="auto"/>
            </w:tcBorders>
            <w:shd w:val="clear" w:color="auto" w:fill="auto"/>
            <w:noWrap/>
            <w:vAlign w:val="center"/>
          </w:tcPr>
          <w:p w14:paraId="522DE961" w14:textId="0C57571F" w:rsidR="00A47EED" w:rsidRDefault="00A47EED" w:rsidP="00A47EED">
            <w:pPr>
              <w:spacing w:after="0" w:line="240" w:lineRule="auto"/>
              <w:jc w:val="right"/>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-179</w:t>
            </w:r>
          </w:p>
        </w:tc>
      </w:tr>
    </w:tbl>
    <w:p w14:paraId="6E272C50" w14:textId="77777777" w:rsidR="00266D85" w:rsidRDefault="00266D85" w:rsidP="001C01B4">
      <w:pPr>
        <w:rPr>
          <w:rFonts w:ascii="Arial" w:hAnsi="Arial" w:cs="Arial"/>
          <w:sz w:val="24"/>
          <w:szCs w:val="24"/>
        </w:rPr>
      </w:pPr>
    </w:p>
    <w:p w14:paraId="5D752B49" w14:textId="0697B151" w:rsidR="00650C9A" w:rsidRDefault="00650C9A" w:rsidP="001C01B4">
      <w:pPr>
        <w:rPr>
          <w:rFonts w:ascii="Arial" w:hAnsi="Arial" w:cs="Arial"/>
          <w:sz w:val="24"/>
          <w:szCs w:val="24"/>
        </w:rPr>
      </w:pPr>
      <w:r>
        <w:rPr>
          <w:rFonts w:ascii="Arial" w:hAnsi="Arial" w:cs="Arial"/>
          <w:sz w:val="24"/>
          <w:szCs w:val="24"/>
        </w:rPr>
        <w:t>The table is by no means exhaustive and financial years beyond the current finance settlement (from 2020/21) will be indicative only. However the Authority must demonstrate that it has considered the potential changes to funding streams and has plans in place to manage them.</w:t>
      </w:r>
    </w:p>
    <w:p w14:paraId="1DABFABE" w14:textId="7F356733" w:rsidR="007A2E36" w:rsidRDefault="007A2E36" w:rsidP="001C01B4">
      <w:pPr>
        <w:rPr>
          <w:rFonts w:ascii="Arial" w:hAnsi="Arial" w:cs="Arial"/>
          <w:sz w:val="24"/>
          <w:szCs w:val="24"/>
        </w:rPr>
      </w:pPr>
    </w:p>
    <w:p w14:paraId="3EC51799" w14:textId="77777777" w:rsidR="007A2E36" w:rsidRDefault="007A2E36">
      <w:pPr>
        <w:rPr>
          <w:rFonts w:ascii="Arial" w:hAnsi="Arial" w:cs="Arial"/>
          <w:sz w:val="24"/>
          <w:szCs w:val="24"/>
        </w:rPr>
      </w:pPr>
      <w:r>
        <w:rPr>
          <w:rFonts w:ascii="Arial" w:hAnsi="Arial" w:cs="Arial"/>
          <w:sz w:val="24"/>
          <w:szCs w:val="24"/>
        </w:rPr>
        <w:br w:type="page"/>
      </w:r>
    </w:p>
    <w:p w14:paraId="1610B66C" w14:textId="7CEBF102" w:rsidR="007A2E36" w:rsidRPr="007A2E36" w:rsidRDefault="007A2E36" w:rsidP="001C01B4">
      <w:pPr>
        <w:rPr>
          <w:rFonts w:ascii="Arial" w:hAnsi="Arial" w:cs="Arial"/>
          <w:b/>
          <w:sz w:val="28"/>
          <w:szCs w:val="28"/>
        </w:rPr>
      </w:pPr>
      <w:r w:rsidRPr="007A2E36">
        <w:rPr>
          <w:rFonts w:ascii="Arial" w:hAnsi="Arial" w:cs="Arial"/>
          <w:b/>
          <w:sz w:val="28"/>
          <w:szCs w:val="28"/>
        </w:rPr>
        <w:t>Reserves Strategy</w:t>
      </w:r>
    </w:p>
    <w:p w14:paraId="73F79019" w14:textId="77777777" w:rsidR="007A2E36" w:rsidRDefault="007A2E36" w:rsidP="007A2E36">
      <w:pPr>
        <w:pStyle w:val="sssubhead1"/>
      </w:pPr>
      <w:r>
        <w:t>Overview of the Reserves Strategy</w:t>
      </w:r>
    </w:p>
    <w:p w14:paraId="7B600457" w14:textId="77777777" w:rsidR="007A2E36" w:rsidRDefault="007A2E36" w:rsidP="007A2E36">
      <w:pPr>
        <w:pStyle w:val="BodyTextIndent"/>
      </w:pPr>
    </w:p>
    <w:p w14:paraId="0FDAEE1A" w14:textId="6B694D62" w:rsidR="007A2E36" w:rsidRPr="007A2E36" w:rsidRDefault="007A2E36" w:rsidP="007A2E36">
      <w:pPr>
        <w:rPr>
          <w:rFonts w:ascii="Arial" w:hAnsi="Arial" w:cs="Arial"/>
          <w:sz w:val="24"/>
          <w:szCs w:val="24"/>
        </w:rPr>
      </w:pPr>
      <w:r w:rsidRPr="007A2E36">
        <w:rPr>
          <w:rFonts w:ascii="Arial" w:hAnsi="Arial" w:cs="Arial"/>
          <w:sz w:val="24"/>
          <w:szCs w:val="24"/>
        </w:rPr>
        <w:t>The Fire Authority</w:t>
      </w:r>
      <w:r>
        <w:rPr>
          <w:rFonts w:ascii="Arial" w:hAnsi="Arial" w:cs="Arial"/>
          <w:sz w:val="24"/>
          <w:szCs w:val="24"/>
        </w:rPr>
        <w:t>’s reserves strategy is an integral part of its financial planning and capital strategy.</w:t>
      </w:r>
      <w:r w:rsidRPr="007A2E36">
        <w:rPr>
          <w:rFonts w:ascii="Arial" w:hAnsi="Arial" w:cs="Arial"/>
          <w:sz w:val="24"/>
          <w:szCs w:val="24"/>
        </w:rPr>
        <w:t xml:space="preserve"> </w:t>
      </w:r>
    </w:p>
    <w:p w14:paraId="5CED1C2F" w14:textId="77777777" w:rsidR="007A2E36" w:rsidRPr="007A2E36" w:rsidRDefault="007A2E36" w:rsidP="007A2E36">
      <w:pPr>
        <w:rPr>
          <w:rFonts w:ascii="Arial" w:hAnsi="Arial" w:cs="Arial"/>
          <w:sz w:val="24"/>
          <w:szCs w:val="24"/>
        </w:rPr>
      </w:pPr>
      <w:r w:rsidRPr="007A2E36">
        <w:rPr>
          <w:rFonts w:ascii="Arial" w:hAnsi="Arial" w:cs="Arial"/>
          <w:sz w:val="24"/>
          <w:szCs w:val="24"/>
        </w:rPr>
        <w:t>CIPFA state that when reviewing their medium term financial plans and preparing their annual budgets, local authorities should consider the establishment and maintenance of reserves.  These can be held for three main purposes:</w:t>
      </w:r>
    </w:p>
    <w:p w14:paraId="0F5F0E85" w14:textId="77777777" w:rsidR="007A2E36" w:rsidRDefault="007A2E36" w:rsidP="007A2E36">
      <w:pPr>
        <w:ind w:left="709"/>
        <w:rPr>
          <w:rFonts w:ascii="Arial" w:hAnsi="Arial" w:cs="Arial"/>
        </w:rPr>
      </w:pPr>
    </w:p>
    <w:p w14:paraId="4CBCB6D1" w14:textId="77777777" w:rsidR="007A2E36" w:rsidRPr="00262618" w:rsidRDefault="007A2E36" w:rsidP="007A2E36">
      <w:pPr>
        <w:pStyle w:val="ListParagraph"/>
        <w:numPr>
          <w:ilvl w:val="0"/>
          <w:numId w:val="2"/>
        </w:numPr>
        <w:ind w:left="1276" w:hanging="567"/>
        <w:rPr>
          <w:rFonts w:ascii="Arial" w:hAnsi="Arial" w:cs="Arial"/>
        </w:rPr>
      </w:pPr>
      <w:r>
        <w:rPr>
          <w:rFonts w:ascii="Arial" w:hAnsi="Arial" w:cs="Arial"/>
        </w:rPr>
        <w:t>A working balance to help cushion the impact of uneven cash flows and avoid unnecessary temporary borrowing – this forms part of general reserves</w:t>
      </w:r>
    </w:p>
    <w:p w14:paraId="7EBE5A18" w14:textId="77777777" w:rsidR="007A2E36" w:rsidRPr="00262618" w:rsidRDefault="007A2E36" w:rsidP="007A2E36">
      <w:pPr>
        <w:pStyle w:val="ListParagraph"/>
        <w:numPr>
          <w:ilvl w:val="0"/>
          <w:numId w:val="2"/>
        </w:numPr>
        <w:ind w:left="1276" w:hanging="567"/>
        <w:rPr>
          <w:rFonts w:ascii="Arial" w:hAnsi="Arial" w:cs="Arial"/>
        </w:rPr>
      </w:pPr>
      <w:r>
        <w:rPr>
          <w:rFonts w:ascii="Arial" w:hAnsi="Arial" w:cs="Arial"/>
        </w:rPr>
        <w:t>A contingency to cushion the impact of unexpected events and emergencies – this also forms part of general reserves</w:t>
      </w:r>
    </w:p>
    <w:p w14:paraId="679359AE" w14:textId="77777777" w:rsidR="007A2E36" w:rsidRPr="00262618" w:rsidRDefault="007A2E36" w:rsidP="007A2E36">
      <w:pPr>
        <w:pStyle w:val="ListParagraph"/>
        <w:numPr>
          <w:ilvl w:val="0"/>
          <w:numId w:val="2"/>
        </w:numPr>
        <w:ind w:left="1276" w:hanging="567"/>
        <w:rPr>
          <w:rFonts w:ascii="Arial" w:hAnsi="Arial" w:cs="Arial"/>
        </w:rPr>
      </w:pPr>
      <w:r>
        <w:rPr>
          <w:rFonts w:ascii="Arial" w:hAnsi="Arial" w:cs="Arial"/>
        </w:rPr>
        <w:t>A means of building up funds, often referred to as earmarked reserves, to meet known or predicted requirements; earmarked reserves are accounted for separately but remain legally part of the General Fund.</w:t>
      </w:r>
    </w:p>
    <w:p w14:paraId="1AE457EE" w14:textId="77777777" w:rsidR="007A2E36" w:rsidRPr="00883E0B" w:rsidRDefault="007A2E36" w:rsidP="007A2E36">
      <w:pPr>
        <w:widowControl w:val="0"/>
        <w:rPr>
          <w:rFonts w:ascii="Arial" w:hAnsi="Arial" w:cs="Arial"/>
          <w:snapToGrid w:val="0"/>
        </w:rPr>
      </w:pPr>
    </w:p>
    <w:p w14:paraId="450E18A2" w14:textId="77777777" w:rsidR="007A2E36" w:rsidRPr="007A2E36" w:rsidRDefault="007A2E36" w:rsidP="007A2E36">
      <w:pPr>
        <w:pStyle w:val="sssubhead1"/>
      </w:pPr>
      <w:r w:rsidRPr="007A2E36">
        <w:t>Adequacy of Reserves</w:t>
      </w:r>
    </w:p>
    <w:p w14:paraId="48D3CA27" w14:textId="77777777" w:rsidR="007A2E36" w:rsidRDefault="007A2E36" w:rsidP="007A2E36">
      <w:pPr>
        <w:pStyle w:val="PlainText"/>
      </w:pPr>
    </w:p>
    <w:p w14:paraId="7AD71E0E" w14:textId="15EC62AE" w:rsidR="007A2E36" w:rsidRPr="007A2E36" w:rsidRDefault="007A2E36" w:rsidP="007A2E36">
      <w:pPr>
        <w:widowControl w:val="0"/>
        <w:rPr>
          <w:rFonts w:ascii="Arial" w:hAnsi="Arial" w:cs="Arial"/>
          <w:snapToGrid w:val="0"/>
          <w:sz w:val="24"/>
          <w:szCs w:val="24"/>
        </w:rPr>
      </w:pPr>
      <w:r w:rsidRPr="007A2E36">
        <w:rPr>
          <w:rFonts w:ascii="Arial" w:hAnsi="Arial" w:cs="Arial"/>
          <w:snapToGrid w:val="0"/>
          <w:sz w:val="24"/>
          <w:szCs w:val="24"/>
        </w:rPr>
        <w:t xml:space="preserve">As the revenue budget was set for 2018/19, members considered the reserves held by the Authority, and deemed them to be adequate and reflective of its risks. There had been some increases to reserves over the year, which were additions to the capital reserves, for capital schemes not yet completed, and for contributions towards the improvements at Telford. </w:t>
      </w:r>
    </w:p>
    <w:p w14:paraId="52371890" w14:textId="28927572" w:rsidR="007A2E36" w:rsidRPr="007A2E36" w:rsidRDefault="007A2E36" w:rsidP="007A2E36">
      <w:pPr>
        <w:widowControl w:val="0"/>
        <w:rPr>
          <w:rFonts w:ascii="Arial" w:hAnsi="Arial" w:cs="Arial"/>
          <w:snapToGrid w:val="0"/>
          <w:sz w:val="24"/>
          <w:szCs w:val="24"/>
        </w:rPr>
      </w:pPr>
      <w:r w:rsidRPr="007A2E36">
        <w:rPr>
          <w:rFonts w:ascii="Arial" w:hAnsi="Arial" w:cs="Arial"/>
          <w:snapToGrid w:val="0"/>
          <w:sz w:val="24"/>
          <w:szCs w:val="24"/>
        </w:rPr>
        <w:t xml:space="preserve">The reasons for holding reserves are still valid in terms of risk areas for the Authority; however it was agreed that a review of the levels of individual reserves would be carried out as the accounts were closed for 2017/18. Given the anticipated spend on the Telford site as well as the future capital programme, it is more prudent to make further funds available for these projects and avoid future borrowing costs in the revenue account. </w:t>
      </w:r>
    </w:p>
    <w:p w14:paraId="34611DA9" w14:textId="4F83E617" w:rsidR="007A2E36" w:rsidRPr="007C6A0B" w:rsidRDefault="007A2E36" w:rsidP="007C6A0B">
      <w:pPr>
        <w:widowControl w:val="0"/>
        <w:rPr>
          <w:rFonts w:ascii="Arial" w:hAnsi="Arial" w:cs="Arial"/>
          <w:snapToGrid w:val="0"/>
          <w:sz w:val="24"/>
          <w:szCs w:val="24"/>
        </w:rPr>
      </w:pPr>
      <w:r w:rsidRPr="007A2E36">
        <w:rPr>
          <w:rFonts w:ascii="Arial" w:hAnsi="Arial" w:cs="Arial"/>
          <w:snapToGrid w:val="0"/>
          <w:sz w:val="24"/>
          <w:szCs w:val="24"/>
        </w:rPr>
        <w:t>It was proposed that any reductions identified in the Authority’s reserves would be diverted to the capital reserves. However, officers would ensure that the Authority still has sufficient funds available to deal with planned activities which require reserve contributions, and also unanticipated events in the future.</w:t>
      </w:r>
    </w:p>
    <w:p w14:paraId="0CBBAF6B" w14:textId="16374096" w:rsidR="007C6A0B" w:rsidRDefault="007C6A0B">
      <w:pPr>
        <w:rPr>
          <w:rFonts w:ascii="Courier New" w:eastAsia="Times New Roman" w:hAnsi="Courier New" w:cs="Courier New"/>
          <w:sz w:val="20"/>
          <w:szCs w:val="20"/>
          <w:lang w:val="en-GB" w:eastAsia="en-GB"/>
        </w:rPr>
      </w:pPr>
      <w:r>
        <w:br w:type="page"/>
      </w:r>
    </w:p>
    <w:p w14:paraId="60B57995" w14:textId="77777777" w:rsidR="007A2E36" w:rsidRPr="001E7AF2" w:rsidRDefault="007A2E36" w:rsidP="007A2E36">
      <w:pPr>
        <w:pStyle w:val="PlainText"/>
      </w:pPr>
    </w:p>
    <w:p w14:paraId="1745593D" w14:textId="77777777" w:rsidR="007A2E36" w:rsidRPr="001E7AF2" w:rsidRDefault="007A2E36" w:rsidP="007A2E36">
      <w:pPr>
        <w:pStyle w:val="sssubhead1"/>
      </w:pPr>
      <w:r>
        <w:t>Proposals following review of reserves</w:t>
      </w:r>
    </w:p>
    <w:p w14:paraId="5A7D49EE" w14:textId="77777777" w:rsidR="007A2E36" w:rsidRDefault="007A2E36" w:rsidP="007A2E36">
      <w:pPr>
        <w:pStyle w:val="sssubhead1"/>
      </w:pPr>
    </w:p>
    <w:p w14:paraId="138A2853" w14:textId="77777777" w:rsidR="007A2E36" w:rsidRDefault="007A2E36" w:rsidP="007C6A0B">
      <w:pPr>
        <w:pStyle w:val="PlainText"/>
        <w:rPr>
          <w:rFonts w:ascii="Arial" w:hAnsi="Arial" w:cs="Arial"/>
          <w:sz w:val="24"/>
          <w:szCs w:val="24"/>
        </w:rPr>
      </w:pPr>
      <w:r>
        <w:rPr>
          <w:rFonts w:ascii="Arial" w:hAnsi="Arial" w:cs="Arial"/>
          <w:sz w:val="24"/>
          <w:szCs w:val="24"/>
        </w:rPr>
        <w:t>The appendix to the report shows the reserves currently held by the Authority, grouped into the areas which follow CIPFA recommendations. The rationale for each reserve is shown along with an estimated use over the next five years.</w:t>
      </w:r>
    </w:p>
    <w:p w14:paraId="3639AB1B" w14:textId="77777777" w:rsidR="007A2E36" w:rsidRDefault="007A2E36" w:rsidP="007A2E36">
      <w:pPr>
        <w:pStyle w:val="PlainText"/>
        <w:ind w:left="720"/>
        <w:rPr>
          <w:rFonts w:ascii="Arial" w:hAnsi="Arial" w:cs="Arial"/>
          <w:sz w:val="24"/>
          <w:szCs w:val="24"/>
        </w:rPr>
      </w:pPr>
    </w:p>
    <w:p w14:paraId="5D65F210" w14:textId="77777777" w:rsidR="007A2E36" w:rsidRDefault="007A2E36" w:rsidP="007C6A0B">
      <w:pPr>
        <w:pStyle w:val="PlainText"/>
        <w:rPr>
          <w:rFonts w:ascii="Arial" w:hAnsi="Arial" w:cs="Arial"/>
          <w:sz w:val="24"/>
          <w:szCs w:val="24"/>
        </w:rPr>
      </w:pPr>
      <w:r>
        <w:rPr>
          <w:rFonts w:ascii="Arial" w:hAnsi="Arial" w:cs="Arial"/>
          <w:sz w:val="24"/>
          <w:szCs w:val="24"/>
        </w:rPr>
        <w:t>The appendix also includes a narrative proposing changes to the level of the reserve or recommending slight variation in its use, to reflect the actual use of reserves over the past few years.</w:t>
      </w:r>
    </w:p>
    <w:p w14:paraId="2B04460D" w14:textId="77777777" w:rsidR="007A2E36" w:rsidRDefault="007A2E36" w:rsidP="007A2E36">
      <w:pPr>
        <w:pStyle w:val="PlainText"/>
        <w:ind w:left="720"/>
        <w:rPr>
          <w:rFonts w:ascii="Arial" w:hAnsi="Arial" w:cs="Arial"/>
          <w:sz w:val="24"/>
          <w:szCs w:val="24"/>
        </w:rPr>
      </w:pPr>
    </w:p>
    <w:p w14:paraId="5E002C53" w14:textId="77777777" w:rsidR="007A2E36" w:rsidRDefault="007A2E36" w:rsidP="007C6A0B">
      <w:pPr>
        <w:pStyle w:val="PlainText"/>
        <w:rPr>
          <w:rFonts w:ascii="Arial" w:hAnsi="Arial" w:cs="Arial"/>
          <w:sz w:val="24"/>
          <w:szCs w:val="24"/>
        </w:rPr>
      </w:pPr>
      <w:r>
        <w:rPr>
          <w:rFonts w:ascii="Arial" w:hAnsi="Arial" w:cs="Arial"/>
          <w:sz w:val="24"/>
          <w:szCs w:val="24"/>
        </w:rPr>
        <w:t>The review includes a renaming of two of the reserves;</w:t>
      </w:r>
    </w:p>
    <w:p w14:paraId="47B1508E" w14:textId="77777777" w:rsidR="007A2E36" w:rsidRDefault="007A2E36" w:rsidP="007A2E36">
      <w:pPr>
        <w:pStyle w:val="PlainText"/>
        <w:ind w:left="1512"/>
        <w:rPr>
          <w:rFonts w:ascii="Arial" w:hAnsi="Arial" w:cs="Arial"/>
          <w:sz w:val="24"/>
          <w:szCs w:val="24"/>
        </w:rPr>
      </w:pPr>
    </w:p>
    <w:p w14:paraId="786C40B5" w14:textId="77777777" w:rsidR="007A2E36" w:rsidRDefault="007A2E36" w:rsidP="007A2E36">
      <w:pPr>
        <w:pStyle w:val="PlainText"/>
        <w:numPr>
          <w:ilvl w:val="0"/>
          <w:numId w:val="3"/>
        </w:numPr>
        <w:rPr>
          <w:rFonts w:ascii="Arial" w:hAnsi="Arial" w:cs="Arial"/>
          <w:sz w:val="24"/>
          <w:szCs w:val="24"/>
        </w:rPr>
      </w:pPr>
      <w:r>
        <w:rPr>
          <w:rFonts w:ascii="Arial" w:hAnsi="Arial" w:cs="Arial"/>
          <w:sz w:val="24"/>
          <w:szCs w:val="24"/>
        </w:rPr>
        <w:t xml:space="preserve">The </w:t>
      </w:r>
      <w:r w:rsidRPr="0058382E">
        <w:rPr>
          <w:rFonts w:ascii="Arial" w:hAnsi="Arial" w:cs="Arial"/>
          <w:b/>
          <w:sz w:val="24"/>
          <w:szCs w:val="24"/>
        </w:rPr>
        <w:t>Unearmarked Capital Reserve</w:t>
      </w:r>
      <w:r>
        <w:rPr>
          <w:rFonts w:ascii="Arial" w:hAnsi="Arial" w:cs="Arial"/>
          <w:sz w:val="24"/>
          <w:szCs w:val="24"/>
        </w:rPr>
        <w:t xml:space="preserve"> becomes the </w:t>
      </w:r>
      <w:r w:rsidRPr="0058382E">
        <w:rPr>
          <w:rFonts w:ascii="Arial" w:hAnsi="Arial" w:cs="Arial"/>
          <w:b/>
          <w:sz w:val="24"/>
          <w:szCs w:val="24"/>
        </w:rPr>
        <w:t>Major Projects</w:t>
      </w:r>
      <w:r>
        <w:rPr>
          <w:rFonts w:ascii="Arial" w:hAnsi="Arial" w:cs="Arial"/>
          <w:sz w:val="24"/>
          <w:szCs w:val="24"/>
        </w:rPr>
        <w:t xml:space="preserve"> </w:t>
      </w:r>
      <w:r w:rsidRPr="0058382E">
        <w:rPr>
          <w:rFonts w:ascii="Arial" w:hAnsi="Arial" w:cs="Arial"/>
          <w:b/>
          <w:sz w:val="24"/>
          <w:szCs w:val="24"/>
        </w:rPr>
        <w:t>Capital Reserve</w:t>
      </w:r>
      <w:r>
        <w:rPr>
          <w:rFonts w:ascii="Arial" w:hAnsi="Arial" w:cs="Arial"/>
          <w:sz w:val="24"/>
          <w:szCs w:val="24"/>
        </w:rPr>
        <w:t xml:space="preserve"> – this reserve was referred to as unearmarked as it did not relate to specific schemes within the capital programme, but it has always been in place to fund major projects.</w:t>
      </w:r>
    </w:p>
    <w:p w14:paraId="6BFB59E2" w14:textId="0DCC7141" w:rsidR="007A2E36" w:rsidRDefault="007A2E36" w:rsidP="007A2E36">
      <w:pPr>
        <w:pStyle w:val="PlainText"/>
        <w:numPr>
          <w:ilvl w:val="0"/>
          <w:numId w:val="3"/>
        </w:numPr>
        <w:rPr>
          <w:rFonts w:ascii="Arial" w:hAnsi="Arial" w:cs="Arial"/>
          <w:sz w:val="24"/>
          <w:szCs w:val="24"/>
        </w:rPr>
      </w:pPr>
      <w:r>
        <w:rPr>
          <w:rFonts w:ascii="Arial" w:hAnsi="Arial" w:cs="Arial"/>
          <w:sz w:val="24"/>
          <w:szCs w:val="24"/>
        </w:rPr>
        <w:t xml:space="preserve">The </w:t>
      </w:r>
      <w:r w:rsidRPr="0058382E">
        <w:rPr>
          <w:rFonts w:ascii="Arial" w:hAnsi="Arial" w:cs="Arial"/>
          <w:b/>
          <w:sz w:val="24"/>
          <w:szCs w:val="24"/>
        </w:rPr>
        <w:t>Service Transformation Programme (STP) Staff Reserve</w:t>
      </w:r>
      <w:r>
        <w:rPr>
          <w:rFonts w:ascii="Arial" w:hAnsi="Arial" w:cs="Arial"/>
          <w:sz w:val="24"/>
          <w:szCs w:val="24"/>
        </w:rPr>
        <w:t xml:space="preserve"> becomes the </w:t>
      </w:r>
      <w:r w:rsidR="008F4E4C" w:rsidRPr="008F4E4C">
        <w:rPr>
          <w:rFonts w:ascii="Arial" w:hAnsi="Arial" w:cs="Arial"/>
          <w:b/>
          <w:sz w:val="24"/>
          <w:szCs w:val="24"/>
        </w:rPr>
        <w:t>STP</w:t>
      </w:r>
      <w:r w:rsidR="008F4E4C">
        <w:rPr>
          <w:rFonts w:ascii="Arial" w:hAnsi="Arial" w:cs="Arial"/>
          <w:sz w:val="24"/>
          <w:szCs w:val="24"/>
        </w:rPr>
        <w:t xml:space="preserve"> </w:t>
      </w:r>
      <w:r w:rsidRPr="0058382E">
        <w:rPr>
          <w:rFonts w:ascii="Arial" w:hAnsi="Arial" w:cs="Arial"/>
          <w:b/>
          <w:sz w:val="24"/>
          <w:szCs w:val="24"/>
        </w:rPr>
        <w:t>Staff Reserve</w:t>
      </w:r>
      <w:r>
        <w:rPr>
          <w:rFonts w:ascii="Arial" w:hAnsi="Arial" w:cs="Arial"/>
          <w:sz w:val="24"/>
          <w:szCs w:val="24"/>
        </w:rPr>
        <w:t xml:space="preserve"> – this reserve proved extremely useful as the STP schemes were undertaken, as resources could be brought in quickly and effectively to complete projects without impacting on the revenue budget. As a result, it is recommended that a reserve is still held to create capacity for the Service when required, but is accessible to all areas of the organisation.</w:t>
      </w:r>
    </w:p>
    <w:p w14:paraId="24B4364E" w14:textId="77777777" w:rsidR="007A2E36" w:rsidRDefault="007A2E36" w:rsidP="007A2E36">
      <w:pPr>
        <w:pStyle w:val="PlainText"/>
        <w:ind w:left="720"/>
        <w:rPr>
          <w:rFonts w:ascii="Arial" w:hAnsi="Arial" w:cs="Arial"/>
          <w:sz w:val="24"/>
          <w:szCs w:val="24"/>
        </w:rPr>
      </w:pPr>
    </w:p>
    <w:p w14:paraId="309403E9" w14:textId="77777777" w:rsidR="007A2E36" w:rsidRDefault="007A2E36" w:rsidP="007A2E36">
      <w:pPr>
        <w:pStyle w:val="PlainText"/>
        <w:ind w:left="720"/>
        <w:rPr>
          <w:rFonts w:ascii="Arial" w:hAnsi="Arial" w:cs="Arial"/>
          <w:sz w:val="24"/>
          <w:szCs w:val="24"/>
        </w:rPr>
      </w:pPr>
      <w:r>
        <w:rPr>
          <w:rFonts w:ascii="Arial" w:hAnsi="Arial" w:cs="Arial"/>
          <w:sz w:val="24"/>
          <w:szCs w:val="24"/>
        </w:rPr>
        <w:t>Two of the reserves see large reductions following the review;</w:t>
      </w:r>
    </w:p>
    <w:p w14:paraId="3966D69D" w14:textId="77777777" w:rsidR="007A2E36" w:rsidRDefault="007A2E36" w:rsidP="007A2E36">
      <w:pPr>
        <w:pStyle w:val="PlainText"/>
        <w:ind w:left="720"/>
        <w:rPr>
          <w:rFonts w:ascii="Arial" w:hAnsi="Arial" w:cs="Arial"/>
          <w:sz w:val="24"/>
          <w:szCs w:val="24"/>
        </w:rPr>
      </w:pPr>
    </w:p>
    <w:p w14:paraId="39441E20" w14:textId="77777777" w:rsidR="007A2E36" w:rsidRDefault="007A2E36" w:rsidP="007A2E36">
      <w:pPr>
        <w:pStyle w:val="PlainText"/>
        <w:numPr>
          <w:ilvl w:val="0"/>
          <w:numId w:val="4"/>
        </w:numPr>
        <w:rPr>
          <w:rFonts w:ascii="Arial" w:hAnsi="Arial" w:cs="Arial"/>
          <w:sz w:val="24"/>
          <w:szCs w:val="24"/>
        </w:rPr>
      </w:pPr>
      <w:r w:rsidRPr="0058382E">
        <w:rPr>
          <w:rFonts w:ascii="Arial" w:hAnsi="Arial" w:cs="Arial"/>
          <w:b/>
          <w:sz w:val="24"/>
          <w:szCs w:val="24"/>
        </w:rPr>
        <w:t>Income Volatility Reserve</w:t>
      </w:r>
      <w:r>
        <w:rPr>
          <w:rFonts w:ascii="Arial" w:hAnsi="Arial" w:cs="Arial"/>
          <w:sz w:val="24"/>
          <w:szCs w:val="24"/>
        </w:rPr>
        <w:t xml:space="preserve"> – this reserve was set up to smooth any volatility or fluctuations in the funding received against estimates in the Authority’s strategic financial planning. Members will be aware that the finance settlements have fluctuated from plans fairly regularly, however additional grants, unexpected increases in council tax base and one off benefits in collection funds have meant that this reserve has not been called upon. It is therefore more prudent to divert some of this reserve to the Major Projects Capital Reserve to contribute towards the costs of the improvements at Telford. </w:t>
      </w:r>
    </w:p>
    <w:p w14:paraId="05448A58" w14:textId="77777777" w:rsidR="007A2E36" w:rsidRDefault="007A2E36" w:rsidP="007A2E36">
      <w:pPr>
        <w:pStyle w:val="PlainText"/>
        <w:ind w:left="1440"/>
        <w:rPr>
          <w:rFonts w:ascii="Arial" w:hAnsi="Arial" w:cs="Arial"/>
          <w:sz w:val="24"/>
          <w:szCs w:val="24"/>
        </w:rPr>
      </w:pPr>
    </w:p>
    <w:p w14:paraId="317C07D8" w14:textId="77777777" w:rsidR="007A2E36" w:rsidRDefault="007A2E36" w:rsidP="007A2E36">
      <w:pPr>
        <w:pStyle w:val="PlainText"/>
        <w:ind w:left="1440"/>
        <w:rPr>
          <w:rFonts w:ascii="Arial" w:hAnsi="Arial" w:cs="Arial"/>
          <w:b/>
          <w:i/>
          <w:color w:val="FF0000"/>
          <w:sz w:val="24"/>
          <w:szCs w:val="24"/>
        </w:rPr>
      </w:pPr>
      <w:r w:rsidRPr="0058382E">
        <w:rPr>
          <w:rFonts w:ascii="Arial" w:hAnsi="Arial" w:cs="Arial"/>
          <w:sz w:val="24"/>
          <w:szCs w:val="24"/>
        </w:rPr>
        <w:t>A balance will be held in this reserve to fund transformation costs likely over the next financial yea</w:t>
      </w:r>
      <w:r>
        <w:rPr>
          <w:rFonts w:ascii="Arial" w:hAnsi="Arial" w:cs="Arial"/>
          <w:sz w:val="24"/>
          <w:szCs w:val="24"/>
        </w:rPr>
        <w:t>r.</w:t>
      </w:r>
    </w:p>
    <w:p w14:paraId="7E45B3F2" w14:textId="77777777" w:rsidR="007A2E36" w:rsidRDefault="007A2E36" w:rsidP="007A2E36">
      <w:pPr>
        <w:pStyle w:val="PlainText"/>
        <w:ind w:left="1440"/>
        <w:rPr>
          <w:rFonts w:ascii="Arial" w:hAnsi="Arial" w:cs="Arial"/>
          <w:b/>
          <w:i/>
          <w:color w:val="FF0000"/>
          <w:sz w:val="24"/>
          <w:szCs w:val="24"/>
        </w:rPr>
      </w:pPr>
    </w:p>
    <w:p w14:paraId="531539E2" w14:textId="77777777" w:rsidR="007A2E36" w:rsidRPr="00AD119E" w:rsidRDefault="007A2E36" w:rsidP="007A2E36">
      <w:pPr>
        <w:pStyle w:val="PlainText"/>
        <w:numPr>
          <w:ilvl w:val="0"/>
          <w:numId w:val="4"/>
        </w:numPr>
        <w:rPr>
          <w:rFonts w:ascii="Arial" w:hAnsi="Arial" w:cs="Arial"/>
          <w:sz w:val="24"/>
          <w:szCs w:val="24"/>
        </w:rPr>
      </w:pPr>
      <w:r w:rsidRPr="0058382E">
        <w:rPr>
          <w:rFonts w:ascii="Arial" w:hAnsi="Arial" w:cs="Arial"/>
          <w:b/>
          <w:sz w:val="24"/>
          <w:szCs w:val="24"/>
        </w:rPr>
        <w:t>Pensions Reserve</w:t>
      </w:r>
      <w:r>
        <w:rPr>
          <w:rFonts w:ascii="Arial" w:hAnsi="Arial" w:cs="Arial"/>
          <w:sz w:val="24"/>
          <w:szCs w:val="24"/>
        </w:rPr>
        <w:t xml:space="preserve"> – the rationale behind this reserve was to cover sickness retirement contributions into the Pensions Account, and to cover costs anticipated as a result of the Retained Firefighters &amp; Part Time Regulations Tribunal. The Authority has enjoyed very low levels of ill health retirements, although provision will still have to be made to fund instances in future years. In addition, the Modified Pension Scheme has now been introduced to retained firefighters with no one off costs now anticipated. It is considered that this reserve can be reduced while still maintaining a buffer for future costs.</w:t>
      </w:r>
    </w:p>
    <w:p w14:paraId="705A6D63" w14:textId="77777777" w:rsidR="007A2E36" w:rsidRDefault="007A2E36" w:rsidP="007A2E36">
      <w:pPr>
        <w:pStyle w:val="PlainText"/>
        <w:rPr>
          <w:rFonts w:ascii="Arial" w:hAnsi="Arial" w:cs="Arial"/>
          <w:sz w:val="24"/>
          <w:szCs w:val="24"/>
        </w:rPr>
      </w:pPr>
    </w:p>
    <w:p w14:paraId="58236A72" w14:textId="77777777" w:rsidR="007A2E36" w:rsidRDefault="007A2E36" w:rsidP="007A2E36">
      <w:pPr>
        <w:pStyle w:val="PlainText"/>
        <w:ind w:left="720"/>
        <w:rPr>
          <w:rFonts w:ascii="Arial" w:hAnsi="Arial" w:cs="Arial"/>
          <w:sz w:val="24"/>
          <w:szCs w:val="24"/>
        </w:rPr>
      </w:pPr>
      <w:r>
        <w:rPr>
          <w:rFonts w:ascii="Arial" w:hAnsi="Arial" w:cs="Arial"/>
          <w:sz w:val="24"/>
          <w:szCs w:val="24"/>
        </w:rPr>
        <w:t>Increases in levels of reserves include;</w:t>
      </w:r>
    </w:p>
    <w:p w14:paraId="61B77E70" w14:textId="77777777" w:rsidR="007A2E36" w:rsidRDefault="007A2E36" w:rsidP="007A2E36">
      <w:pPr>
        <w:pStyle w:val="PlainText"/>
        <w:ind w:left="720"/>
        <w:rPr>
          <w:rFonts w:ascii="Arial" w:hAnsi="Arial" w:cs="Arial"/>
          <w:sz w:val="24"/>
          <w:szCs w:val="24"/>
        </w:rPr>
      </w:pPr>
    </w:p>
    <w:p w14:paraId="577A8586" w14:textId="3AD44CBB" w:rsidR="007A2E36" w:rsidRDefault="001C23AE" w:rsidP="007A2E36">
      <w:pPr>
        <w:pStyle w:val="PlainText"/>
        <w:numPr>
          <w:ilvl w:val="0"/>
          <w:numId w:val="4"/>
        </w:numPr>
        <w:rPr>
          <w:rFonts w:ascii="Arial" w:hAnsi="Arial" w:cs="Arial"/>
          <w:sz w:val="24"/>
          <w:szCs w:val="24"/>
        </w:rPr>
      </w:pPr>
      <w:r>
        <w:rPr>
          <w:rFonts w:ascii="Arial" w:hAnsi="Arial" w:cs="Arial"/>
          <w:b/>
          <w:sz w:val="24"/>
          <w:szCs w:val="24"/>
        </w:rPr>
        <w:t xml:space="preserve">Transformation </w:t>
      </w:r>
      <w:r w:rsidR="007A2E36" w:rsidRPr="0058382E">
        <w:rPr>
          <w:rFonts w:ascii="Arial" w:hAnsi="Arial" w:cs="Arial"/>
          <w:b/>
          <w:sz w:val="24"/>
          <w:szCs w:val="24"/>
        </w:rPr>
        <w:t>Staff Reserve</w:t>
      </w:r>
      <w:r w:rsidR="007A2E36">
        <w:rPr>
          <w:rFonts w:ascii="Arial" w:hAnsi="Arial" w:cs="Arial"/>
          <w:sz w:val="24"/>
          <w:szCs w:val="24"/>
        </w:rPr>
        <w:t xml:space="preserve"> – following its change from the STP Staff Reserve (which was fully depleted), it is recommended that this reserve is grown to provide capacity for the projects and programmes which will be undertaken by officers over the next two years. Levels can be reviewed and further increases made as the reserves are reviewed in the future.</w:t>
      </w:r>
    </w:p>
    <w:p w14:paraId="126142AB" w14:textId="77777777" w:rsidR="007A2E36" w:rsidRDefault="007A2E36" w:rsidP="007A2E36">
      <w:pPr>
        <w:pStyle w:val="PlainText"/>
        <w:rPr>
          <w:rFonts w:ascii="Arial" w:hAnsi="Arial" w:cs="Arial"/>
          <w:sz w:val="24"/>
          <w:szCs w:val="24"/>
        </w:rPr>
      </w:pPr>
    </w:p>
    <w:p w14:paraId="38475D8F" w14:textId="72756E9F" w:rsidR="007A2E36" w:rsidRDefault="007A2E36" w:rsidP="007A2E36">
      <w:pPr>
        <w:pStyle w:val="PlainText"/>
        <w:numPr>
          <w:ilvl w:val="0"/>
          <w:numId w:val="4"/>
        </w:numPr>
        <w:rPr>
          <w:rFonts w:ascii="Arial" w:hAnsi="Arial" w:cs="Arial"/>
          <w:sz w:val="24"/>
          <w:szCs w:val="24"/>
        </w:rPr>
      </w:pPr>
      <w:r w:rsidRPr="0058382E">
        <w:rPr>
          <w:rFonts w:ascii="Arial" w:hAnsi="Arial" w:cs="Arial"/>
          <w:b/>
          <w:sz w:val="24"/>
          <w:szCs w:val="24"/>
        </w:rPr>
        <w:t>Operational Equipment Reserve</w:t>
      </w:r>
      <w:r>
        <w:rPr>
          <w:rFonts w:ascii="Arial" w:hAnsi="Arial" w:cs="Arial"/>
          <w:sz w:val="24"/>
          <w:szCs w:val="24"/>
        </w:rPr>
        <w:t xml:space="preserve"> – this reserve has been use</w:t>
      </w:r>
      <w:r w:rsidR="001F4B28">
        <w:rPr>
          <w:rFonts w:ascii="Arial" w:hAnsi="Arial" w:cs="Arial"/>
          <w:sz w:val="24"/>
          <w:szCs w:val="24"/>
        </w:rPr>
        <w:t>d</w:t>
      </w:r>
      <w:r>
        <w:rPr>
          <w:rFonts w:ascii="Arial" w:hAnsi="Arial" w:cs="Arial"/>
          <w:sz w:val="24"/>
          <w:szCs w:val="24"/>
        </w:rPr>
        <w:t xml:space="preserve"> for funding one off requests, taking p</w:t>
      </w:r>
      <w:r w:rsidR="00F3249F">
        <w:rPr>
          <w:rFonts w:ascii="Arial" w:hAnsi="Arial" w:cs="Arial"/>
          <w:sz w:val="24"/>
          <w:szCs w:val="24"/>
        </w:rPr>
        <w:t xml:space="preserve">ressure off the revenue budget, examples include fire investigation kits and rope rescue equipment. </w:t>
      </w:r>
      <w:r>
        <w:rPr>
          <w:rFonts w:ascii="Arial" w:hAnsi="Arial" w:cs="Arial"/>
          <w:sz w:val="24"/>
          <w:szCs w:val="24"/>
        </w:rPr>
        <w:t>It is therefore proposed that this reserve is increased to ensure its continued use in future years.</w:t>
      </w:r>
    </w:p>
    <w:p w14:paraId="24DCFCB6" w14:textId="77777777" w:rsidR="007A2E36" w:rsidRDefault="007A2E36" w:rsidP="007A2E36">
      <w:pPr>
        <w:pStyle w:val="ListParagraph"/>
        <w:rPr>
          <w:rFonts w:ascii="Arial" w:hAnsi="Arial" w:cs="Arial"/>
        </w:rPr>
      </w:pPr>
    </w:p>
    <w:p w14:paraId="4CD789B7" w14:textId="77777777" w:rsidR="007A2E36" w:rsidRPr="00F7520B" w:rsidRDefault="007A2E36" w:rsidP="007A2E36">
      <w:pPr>
        <w:pStyle w:val="PlainText"/>
        <w:ind w:left="720"/>
        <w:rPr>
          <w:rFonts w:ascii="Arial" w:hAnsi="Arial" w:cs="Arial"/>
          <w:b/>
          <w:sz w:val="24"/>
          <w:szCs w:val="24"/>
        </w:rPr>
      </w:pPr>
      <w:r w:rsidRPr="00F7520B">
        <w:rPr>
          <w:rFonts w:ascii="Arial" w:hAnsi="Arial" w:cs="Arial"/>
          <w:b/>
          <w:sz w:val="24"/>
          <w:szCs w:val="24"/>
        </w:rPr>
        <w:t>General Reserve</w:t>
      </w:r>
    </w:p>
    <w:p w14:paraId="03CB02C8" w14:textId="77777777" w:rsidR="007A2E36" w:rsidRDefault="007A2E36" w:rsidP="007A2E36">
      <w:pPr>
        <w:pStyle w:val="PlainText"/>
        <w:ind w:left="720"/>
        <w:rPr>
          <w:rFonts w:ascii="Arial" w:hAnsi="Arial" w:cs="Arial"/>
          <w:sz w:val="24"/>
          <w:szCs w:val="24"/>
        </w:rPr>
      </w:pPr>
      <w:r>
        <w:rPr>
          <w:rFonts w:ascii="Arial" w:hAnsi="Arial" w:cs="Arial"/>
          <w:sz w:val="24"/>
          <w:szCs w:val="24"/>
        </w:rPr>
        <w:t>This reserve represents a risk assessment of the pressures likely to face the Authority, based on the probability of the occurrence of those risks. This is a small proportion of the total reserves held, as the majority of the pressures identified are recognised in the earmarked reserves. However there are still occurrences that need to be provided for that are unanticipated, and this reserve provides funding for those events.</w:t>
      </w:r>
    </w:p>
    <w:p w14:paraId="1E366935" w14:textId="77777777" w:rsidR="007A2E36" w:rsidRDefault="007A2E36" w:rsidP="007A2E36">
      <w:pPr>
        <w:pStyle w:val="PlainText"/>
        <w:ind w:left="720"/>
        <w:rPr>
          <w:rFonts w:ascii="Arial" w:hAnsi="Arial" w:cs="Arial"/>
          <w:sz w:val="24"/>
          <w:szCs w:val="24"/>
        </w:rPr>
      </w:pPr>
    </w:p>
    <w:p w14:paraId="286ED2B9" w14:textId="77777777" w:rsidR="007A2E36" w:rsidRDefault="007A2E36" w:rsidP="007A2E36">
      <w:pPr>
        <w:pStyle w:val="PlainText"/>
        <w:ind w:left="720"/>
        <w:rPr>
          <w:rFonts w:ascii="Arial" w:hAnsi="Arial" w:cs="Arial"/>
          <w:sz w:val="24"/>
          <w:szCs w:val="24"/>
        </w:rPr>
      </w:pPr>
      <w:r>
        <w:rPr>
          <w:rFonts w:ascii="Arial" w:hAnsi="Arial" w:cs="Arial"/>
          <w:sz w:val="24"/>
          <w:szCs w:val="24"/>
        </w:rPr>
        <w:t>The content of the General Reserve is reflective of the risks recorded corporately and departmentally. There are no plans to amend the balance held, although the proportions held for events within the reserve may change over time. However, a review will be held over the next year to reassess the General Reserve.</w:t>
      </w:r>
    </w:p>
    <w:p w14:paraId="4BB02A2B" w14:textId="77777777" w:rsidR="00FA2DA4" w:rsidRDefault="00FA2DA4" w:rsidP="001C01B4">
      <w:pPr>
        <w:rPr>
          <w:rFonts w:ascii="Arial" w:hAnsi="Arial" w:cs="Arial"/>
          <w:sz w:val="24"/>
          <w:szCs w:val="24"/>
        </w:rPr>
        <w:sectPr w:rsidR="00FA2DA4" w:rsidSect="00FA2DA4">
          <w:pgSz w:w="12240" w:h="15840"/>
          <w:pgMar w:top="1440" w:right="1440" w:bottom="1440" w:left="1440" w:header="720" w:footer="720" w:gutter="0"/>
          <w:cols w:space="720"/>
          <w:docGrid w:linePitch="360"/>
        </w:sectPr>
      </w:pPr>
    </w:p>
    <w:p w14:paraId="2AF6E4F2" w14:textId="43B68243" w:rsidR="007A2E36" w:rsidRDefault="007A2E36" w:rsidP="001C01B4">
      <w:pPr>
        <w:rPr>
          <w:rFonts w:ascii="Arial" w:hAnsi="Arial" w:cs="Arial"/>
          <w:sz w:val="24"/>
          <w:szCs w:val="24"/>
        </w:rPr>
      </w:pPr>
    </w:p>
    <w:tbl>
      <w:tblPr>
        <w:tblStyle w:val="TableGrid"/>
        <w:tblW w:w="15593" w:type="dxa"/>
        <w:tblInd w:w="-1139" w:type="dxa"/>
        <w:tblLayout w:type="fixed"/>
        <w:tblLook w:val="04A0" w:firstRow="1" w:lastRow="0" w:firstColumn="1" w:lastColumn="0" w:noHBand="0" w:noVBand="1"/>
      </w:tblPr>
      <w:tblGrid>
        <w:gridCol w:w="1843"/>
        <w:gridCol w:w="1134"/>
        <w:gridCol w:w="992"/>
        <w:gridCol w:w="993"/>
        <w:gridCol w:w="992"/>
        <w:gridCol w:w="1134"/>
        <w:gridCol w:w="992"/>
        <w:gridCol w:w="992"/>
        <w:gridCol w:w="1134"/>
        <w:gridCol w:w="1134"/>
        <w:gridCol w:w="993"/>
        <w:gridCol w:w="992"/>
        <w:gridCol w:w="1134"/>
        <w:gridCol w:w="1134"/>
      </w:tblGrid>
      <w:tr w:rsidR="008F4E4C" w:rsidRPr="008B1E99" w14:paraId="2C22144B" w14:textId="77777777" w:rsidTr="008F4E4C">
        <w:tc>
          <w:tcPr>
            <w:tcW w:w="1843" w:type="dxa"/>
            <w:tcBorders>
              <w:top w:val="single" w:sz="4" w:space="0" w:color="auto"/>
            </w:tcBorders>
          </w:tcPr>
          <w:p w14:paraId="73C2319F" w14:textId="565DF165" w:rsidR="008F4E4C" w:rsidRPr="008B1E99" w:rsidRDefault="008F4E4C" w:rsidP="008F4E4C">
            <w:pPr>
              <w:rPr>
                <w:rFonts w:ascii="Arial" w:hAnsi="Arial" w:cs="Arial"/>
                <w:b/>
                <w:sz w:val="20"/>
                <w:szCs w:val="20"/>
              </w:rPr>
            </w:pPr>
            <w:r>
              <w:rPr>
                <w:rFonts w:ascii="Arial" w:hAnsi="Arial" w:cs="Arial"/>
                <w:sz w:val="24"/>
                <w:szCs w:val="24"/>
              </w:rPr>
              <w:br w:type="page"/>
            </w:r>
          </w:p>
          <w:p w14:paraId="7BF6999E" w14:textId="77777777" w:rsidR="008F4E4C" w:rsidRPr="008B1E99" w:rsidRDefault="008F4E4C" w:rsidP="008F4E4C">
            <w:pPr>
              <w:rPr>
                <w:rFonts w:ascii="Arial" w:hAnsi="Arial" w:cs="Arial"/>
                <w:b/>
                <w:sz w:val="20"/>
                <w:szCs w:val="20"/>
              </w:rPr>
            </w:pPr>
          </w:p>
        </w:tc>
        <w:tc>
          <w:tcPr>
            <w:tcW w:w="1134" w:type="dxa"/>
            <w:shd w:val="clear" w:color="auto" w:fill="D9D9D9" w:themeFill="background1" w:themeFillShade="D9"/>
            <w:vAlign w:val="center"/>
          </w:tcPr>
          <w:p w14:paraId="3E704227"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Balance 01/04/1</w:t>
            </w:r>
            <w:r>
              <w:rPr>
                <w:rFonts w:ascii="Arial" w:hAnsi="Arial" w:cs="Arial"/>
                <w:b/>
                <w:sz w:val="20"/>
                <w:szCs w:val="20"/>
              </w:rPr>
              <w:t>8</w:t>
            </w:r>
          </w:p>
          <w:p w14:paraId="73A6A077"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2" w:type="dxa"/>
            <w:shd w:val="clear" w:color="auto" w:fill="D9D9D9" w:themeFill="background1" w:themeFillShade="D9"/>
            <w:vAlign w:val="center"/>
          </w:tcPr>
          <w:p w14:paraId="5A66EE50"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Spend</w:t>
            </w:r>
          </w:p>
          <w:p w14:paraId="39D16148"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3" w:type="dxa"/>
            <w:shd w:val="clear" w:color="auto" w:fill="D9D9D9" w:themeFill="background1" w:themeFillShade="D9"/>
            <w:vAlign w:val="center"/>
          </w:tcPr>
          <w:p w14:paraId="308DE86A"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Income</w:t>
            </w:r>
          </w:p>
          <w:p w14:paraId="4F19FB81"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2" w:type="dxa"/>
            <w:shd w:val="clear" w:color="auto" w:fill="D9D9D9" w:themeFill="background1" w:themeFillShade="D9"/>
            <w:vAlign w:val="center"/>
          </w:tcPr>
          <w:p w14:paraId="32D26B44"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Interest</w:t>
            </w:r>
          </w:p>
          <w:p w14:paraId="4D69DCA7"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1134" w:type="dxa"/>
            <w:shd w:val="clear" w:color="auto" w:fill="D9D9D9" w:themeFill="background1" w:themeFillShade="D9"/>
            <w:vAlign w:val="center"/>
          </w:tcPr>
          <w:p w14:paraId="7142E169"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Balance 31/03/1</w:t>
            </w:r>
            <w:r>
              <w:rPr>
                <w:rFonts w:ascii="Arial" w:hAnsi="Arial" w:cs="Arial"/>
                <w:b/>
                <w:sz w:val="20"/>
                <w:szCs w:val="20"/>
              </w:rPr>
              <w:t>9</w:t>
            </w:r>
          </w:p>
          <w:p w14:paraId="2DCE64D1"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2" w:type="dxa"/>
            <w:shd w:val="clear" w:color="auto" w:fill="D9D9D9" w:themeFill="background1" w:themeFillShade="D9"/>
            <w:vAlign w:val="center"/>
          </w:tcPr>
          <w:p w14:paraId="61FE8083"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Spend</w:t>
            </w:r>
          </w:p>
          <w:p w14:paraId="7B951294"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2" w:type="dxa"/>
            <w:shd w:val="clear" w:color="auto" w:fill="D9D9D9" w:themeFill="background1" w:themeFillShade="D9"/>
            <w:vAlign w:val="center"/>
          </w:tcPr>
          <w:p w14:paraId="20F6B4AC"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Income</w:t>
            </w:r>
          </w:p>
          <w:p w14:paraId="337DFC88"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1134" w:type="dxa"/>
            <w:shd w:val="clear" w:color="auto" w:fill="D9D9D9" w:themeFill="background1" w:themeFillShade="D9"/>
            <w:vAlign w:val="center"/>
          </w:tcPr>
          <w:p w14:paraId="034DC347"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Interest</w:t>
            </w:r>
          </w:p>
          <w:p w14:paraId="59493469"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1134" w:type="dxa"/>
            <w:shd w:val="clear" w:color="auto" w:fill="D9D9D9" w:themeFill="background1" w:themeFillShade="D9"/>
            <w:vAlign w:val="center"/>
          </w:tcPr>
          <w:p w14:paraId="686C9422"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Balance 31/03/</w:t>
            </w:r>
            <w:r>
              <w:rPr>
                <w:rFonts w:ascii="Arial" w:hAnsi="Arial" w:cs="Arial"/>
                <w:b/>
                <w:sz w:val="20"/>
                <w:szCs w:val="20"/>
              </w:rPr>
              <w:t>20</w:t>
            </w:r>
          </w:p>
          <w:p w14:paraId="287BD417"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3" w:type="dxa"/>
            <w:shd w:val="clear" w:color="auto" w:fill="D9D9D9" w:themeFill="background1" w:themeFillShade="D9"/>
            <w:vAlign w:val="center"/>
          </w:tcPr>
          <w:p w14:paraId="318433DF"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Spend</w:t>
            </w:r>
          </w:p>
          <w:p w14:paraId="37C6D0B9"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992" w:type="dxa"/>
            <w:shd w:val="clear" w:color="auto" w:fill="D9D9D9" w:themeFill="background1" w:themeFillShade="D9"/>
            <w:vAlign w:val="center"/>
          </w:tcPr>
          <w:p w14:paraId="61421376"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Income</w:t>
            </w:r>
          </w:p>
          <w:p w14:paraId="3EF16FEE"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1134" w:type="dxa"/>
            <w:shd w:val="clear" w:color="auto" w:fill="D9D9D9" w:themeFill="background1" w:themeFillShade="D9"/>
            <w:vAlign w:val="center"/>
          </w:tcPr>
          <w:p w14:paraId="4F5FE40A"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Interest</w:t>
            </w:r>
          </w:p>
          <w:p w14:paraId="2CBC20A9"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c>
          <w:tcPr>
            <w:tcW w:w="1134" w:type="dxa"/>
            <w:shd w:val="clear" w:color="auto" w:fill="D9D9D9" w:themeFill="background1" w:themeFillShade="D9"/>
            <w:vAlign w:val="center"/>
          </w:tcPr>
          <w:p w14:paraId="483DC2BE" w14:textId="77777777" w:rsidR="008F4E4C" w:rsidRDefault="008F4E4C" w:rsidP="008F4E4C">
            <w:pPr>
              <w:jc w:val="right"/>
              <w:rPr>
                <w:rFonts w:ascii="Arial" w:hAnsi="Arial" w:cs="Arial"/>
                <w:b/>
                <w:sz w:val="20"/>
                <w:szCs w:val="20"/>
              </w:rPr>
            </w:pPr>
            <w:r w:rsidRPr="008B1E99">
              <w:rPr>
                <w:rFonts w:ascii="Arial" w:hAnsi="Arial" w:cs="Arial"/>
                <w:b/>
                <w:sz w:val="20"/>
                <w:szCs w:val="20"/>
              </w:rPr>
              <w:t>Balance 31/03/</w:t>
            </w:r>
            <w:r>
              <w:rPr>
                <w:rFonts w:ascii="Arial" w:hAnsi="Arial" w:cs="Arial"/>
                <w:b/>
                <w:sz w:val="20"/>
                <w:szCs w:val="20"/>
              </w:rPr>
              <w:t>21</w:t>
            </w:r>
          </w:p>
          <w:p w14:paraId="0464DA94" w14:textId="77777777" w:rsidR="008F4E4C" w:rsidRPr="008B1E99" w:rsidRDefault="008F4E4C" w:rsidP="008F4E4C">
            <w:pPr>
              <w:jc w:val="right"/>
              <w:rPr>
                <w:rFonts w:ascii="Arial" w:hAnsi="Arial" w:cs="Arial"/>
                <w:b/>
                <w:sz w:val="20"/>
                <w:szCs w:val="20"/>
              </w:rPr>
            </w:pPr>
            <w:r w:rsidRPr="008B1E99">
              <w:rPr>
                <w:rFonts w:ascii="Arial" w:hAnsi="Arial" w:cs="Arial"/>
                <w:b/>
                <w:sz w:val="20"/>
                <w:szCs w:val="20"/>
              </w:rPr>
              <w:t>£000</w:t>
            </w:r>
          </w:p>
        </w:tc>
      </w:tr>
      <w:tr w:rsidR="008F4E4C" w:rsidRPr="008B1E99" w14:paraId="00A66D54" w14:textId="77777777" w:rsidTr="008F4E4C">
        <w:trPr>
          <w:trHeight w:val="510"/>
        </w:trPr>
        <w:tc>
          <w:tcPr>
            <w:tcW w:w="1843" w:type="dxa"/>
            <w:vAlign w:val="center"/>
          </w:tcPr>
          <w:p w14:paraId="32714163" w14:textId="77777777" w:rsidR="008F4E4C" w:rsidRPr="008C0E4E" w:rsidRDefault="008F4E4C" w:rsidP="008F4E4C">
            <w:pPr>
              <w:rPr>
                <w:rFonts w:ascii="Arial" w:hAnsi="Arial" w:cs="Arial"/>
                <w:b/>
                <w:sz w:val="20"/>
                <w:szCs w:val="20"/>
              </w:rPr>
            </w:pPr>
            <w:r w:rsidRPr="008C0E4E">
              <w:rPr>
                <w:rFonts w:ascii="Arial" w:hAnsi="Arial" w:cs="Arial"/>
                <w:b/>
                <w:sz w:val="20"/>
                <w:szCs w:val="20"/>
              </w:rPr>
              <w:t>General</w:t>
            </w:r>
          </w:p>
        </w:tc>
        <w:tc>
          <w:tcPr>
            <w:tcW w:w="1134" w:type="dxa"/>
            <w:vAlign w:val="center"/>
          </w:tcPr>
          <w:p w14:paraId="3DE63906" w14:textId="77777777" w:rsidR="008F4E4C" w:rsidRPr="008B1E99" w:rsidRDefault="008F4E4C" w:rsidP="008F4E4C">
            <w:pPr>
              <w:jc w:val="right"/>
              <w:rPr>
                <w:rFonts w:ascii="Arial" w:hAnsi="Arial" w:cs="Arial"/>
                <w:sz w:val="20"/>
                <w:szCs w:val="20"/>
              </w:rPr>
            </w:pPr>
            <w:r>
              <w:rPr>
                <w:rFonts w:ascii="Arial" w:hAnsi="Arial" w:cs="Arial"/>
                <w:sz w:val="20"/>
                <w:szCs w:val="20"/>
              </w:rPr>
              <w:t>577</w:t>
            </w:r>
          </w:p>
        </w:tc>
        <w:tc>
          <w:tcPr>
            <w:tcW w:w="992" w:type="dxa"/>
            <w:vAlign w:val="center"/>
          </w:tcPr>
          <w:p w14:paraId="44266EA6"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3" w:type="dxa"/>
            <w:vAlign w:val="center"/>
          </w:tcPr>
          <w:p w14:paraId="116FBD7C"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06C4F619"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4D21CB76" w14:textId="77777777" w:rsidR="008F4E4C" w:rsidRPr="008B1E99" w:rsidRDefault="008F4E4C" w:rsidP="008F4E4C">
            <w:pPr>
              <w:jc w:val="right"/>
              <w:rPr>
                <w:rFonts w:ascii="Arial" w:hAnsi="Arial" w:cs="Arial"/>
                <w:sz w:val="20"/>
                <w:szCs w:val="20"/>
              </w:rPr>
            </w:pPr>
            <w:r>
              <w:rPr>
                <w:rFonts w:ascii="Arial" w:hAnsi="Arial" w:cs="Arial"/>
                <w:sz w:val="20"/>
                <w:szCs w:val="20"/>
              </w:rPr>
              <w:t>577</w:t>
            </w:r>
          </w:p>
        </w:tc>
        <w:tc>
          <w:tcPr>
            <w:tcW w:w="992" w:type="dxa"/>
            <w:vAlign w:val="center"/>
          </w:tcPr>
          <w:p w14:paraId="2487586B"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7757BF95"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7C5DB89A"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327FE75A" w14:textId="77777777" w:rsidR="008F4E4C" w:rsidRPr="008B1E99" w:rsidRDefault="008F4E4C" w:rsidP="008F4E4C">
            <w:pPr>
              <w:jc w:val="right"/>
              <w:rPr>
                <w:rFonts w:ascii="Arial" w:hAnsi="Arial" w:cs="Arial"/>
                <w:sz w:val="20"/>
                <w:szCs w:val="20"/>
              </w:rPr>
            </w:pPr>
            <w:r>
              <w:rPr>
                <w:rFonts w:ascii="Arial" w:hAnsi="Arial" w:cs="Arial"/>
                <w:sz w:val="20"/>
                <w:szCs w:val="20"/>
              </w:rPr>
              <w:t>577</w:t>
            </w:r>
          </w:p>
        </w:tc>
        <w:tc>
          <w:tcPr>
            <w:tcW w:w="993" w:type="dxa"/>
            <w:vAlign w:val="center"/>
          </w:tcPr>
          <w:p w14:paraId="6FDB47D3"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4A5F6B94"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49AEE568"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55A39C0C" w14:textId="77777777" w:rsidR="008F4E4C" w:rsidRPr="008B1E99" w:rsidRDefault="008F4E4C" w:rsidP="008F4E4C">
            <w:pPr>
              <w:jc w:val="right"/>
              <w:rPr>
                <w:rFonts w:ascii="Arial" w:hAnsi="Arial" w:cs="Arial"/>
                <w:sz w:val="20"/>
                <w:szCs w:val="20"/>
              </w:rPr>
            </w:pPr>
            <w:r>
              <w:rPr>
                <w:rFonts w:ascii="Arial" w:hAnsi="Arial" w:cs="Arial"/>
                <w:sz w:val="20"/>
                <w:szCs w:val="20"/>
              </w:rPr>
              <w:t>577</w:t>
            </w:r>
          </w:p>
        </w:tc>
      </w:tr>
      <w:tr w:rsidR="008F4E4C" w:rsidRPr="008B1E99" w14:paraId="623A292C" w14:textId="77777777" w:rsidTr="008F4E4C">
        <w:trPr>
          <w:trHeight w:val="510"/>
        </w:trPr>
        <w:tc>
          <w:tcPr>
            <w:tcW w:w="1843" w:type="dxa"/>
            <w:vAlign w:val="center"/>
          </w:tcPr>
          <w:p w14:paraId="0BBCD163" w14:textId="77777777" w:rsidR="008F4E4C" w:rsidRPr="008C0E4E" w:rsidRDefault="008F4E4C" w:rsidP="008F4E4C">
            <w:pPr>
              <w:rPr>
                <w:rFonts w:ascii="Arial" w:hAnsi="Arial" w:cs="Arial"/>
                <w:b/>
                <w:sz w:val="20"/>
                <w:szCs w:val="20"/>
              </w:rPr>
            </w:pPr>
            <w:r w:rsidRPr="008C0E4E">
              <w:rPr>
                <w:rFonts w:ascii="Arial" w:hAnsi="Arial" w:cs="Arial"/>
                <w:b/>
                <w:sz w:val="20"/>
                <w:szCs w:val="20"/>
              </w:rPr>
              <w:t>Earmarked Capital</w:t>
            </w:r>
          </w:p>
        </w:tc>
        <w:tc>
          <w:tcPr>
            <w:tcW w:w="1134" w:type="dxa"/>
            <w:vAlign w:val="center"/>
          </w:tcPr>
          <w:p w14:paraId="65B97A56" w14:textId="0C6BC5A8" w:rsidR="008F4E4C" w:rsidRPr="008B1E99" w:rsidRDefault="008F29AC" w:rsidP="008F4E4C">
            <w:pPr>
              <w:jc w:val="right"/>
              <w:rPr>
                <w:rFonts w:ascii="Arial" w:hAnsi="Arial" w:cs="Arial"/>
                <w:sz w:val="20"/>
                <w:szCs w:val="20"/>
              </w:rPr>
            </w:pPr>
            <w:r>
              <w:rPr>
                <w:rFonts w:ascii="Arial" w:hAnsi="Arial" w:cs="Arial"/>
                <w:sz w:val="20"/>
                <w:szCs w:val="20"/>
              </w:rPr>
              <w:t>4,851</w:t>
            </w:r>
          </w:p>
        </w:tc>
        <w:tc>
          <w:tcPr>
            <w:tcW w:w="992" w:type="dxa"/>
            <w:vAlign w:val="center"/>
          </w:tcPr>
          <w:p w14:paraId="17972381" w14:textId="59EE2134" w:rsidR="008F4E4C" w:rsidRPr="008B1E99" w:rsidRDefault="008F4E4C" w:rsidP="008F29AC">
            <w:pPr>
              <w:jc w:val="right"/>
              <w:rPr>
                <w:rFonts w:ascii="Arial" w:hAnsi="Arial" w:cs="Arial"/>
                <w:sz w:val="20"/>
                <w:szCs w:val="20"/>
              </w:rPr>
            </w:pPr>
            <w:r>
              <w:rPr>
                <w:rFonts w:ascii="Arial" w:hAnsi="Arial" w:cs="Arial"/>
                <w:sz w:val="20"/>
                <w:szCs w:val="20"/>
              </w:rPr>
              <w:t>-</w:t>
            </w:r>
            <w:r w:rsidR="008F29AC">
              <w:rPr>
                <w:rFonts w:ascii="Arial" w:hAnsi="Arial" w:cs="Arial"/>
                <w:sz w:val="20"/>
                <w:szCs w:val="20"/>
              </w:rPr>
              <w:t>3,234</w:t>
            </w:r>
          </w:p>
        </w:tc>
        <w:tc>
          <w:tcPr>
            <w:tcW w:w="993" w:type="dxa"/>
            <w:vAlign w:val="center"/>
          </w:tcPr>
          <w:p w14:paraId="1C39B706"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992" w:type="dxa"/>
            <w:vAlign w:val="center"/>
          </w:tcPr>
          <w:p w14:paraId="6D2F2CA1"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45D01952" w14:textId="4A103064" w:rsidR="008F4E4C" w:rsidRPr="008B1E99" w:rsidRDefault="008F29AC" w:rsidP="008F4E4C">
            <w:pPr>
              <w:jc w:val="right"/>
              <w:rPr>
                <w:rFonts w:ascii="Arial" w:hAnsi="Arial" w:cs="Arial"/>
                <w:sz w:val="20"/>
                <w:szCs w:val="20"/>
              </w:rPr>
            </w:pPr>
            <w:r>
              <w:rPr>
                <w:rFonts w:ascii="Arial" w:hAnsi="Arial" w:cs="Arial"/>
                <w:sz w:val="20"/>
                <w:szCs w:val="20"/>
              </w:rPr>
              <w:t>1,617</w:t>
            </w:r>
          </w:p>
        </w:tc>
        <w:tc>
          <w:tcPr>
            <w:tcW w:w="992" w:type="dxa"/>
            <w:vAlign w:val="center"/>
          </w:tcPr>
          <w:p w14:paraId="5B6829F1" w14:textId="4CA4661C" w:rsidR="008F4E4C" w:rsidRPr="008B1E99" w:rsidRDefault="008F4E4C" w:rsidP="008F29AC">
            <w:pPr>
              <w:jc w:val="right"/>
              <w:rPr>
                <w:rFonts w:ascii="Arial" w:hAnsi="Arial" w:cs="Arial"/>
                <w:sz w:val="20"/>
                <w:szCs w:val="20"/>
              </w:rPr>
            </w:pPr>
            <w:r>
              <w:rPr>
                <w:rFonts w:ascii="Arial" w:hAnsi="Arial" w:cs="Arial"/>
                <w:sz w:val="20"/>
                <w:szCs w:val="20"/>
              </w:rPr>
              <w:t>-</w:t>
            </w:r>
            <w:r w:rsidR="008F29AC">
              <w:rPr>
                <w:rFonts w:ascii="Arial" w:hAnsi="Arial" w:cs="Arial"/>
                <w:sz w:val="20"/>
                <w:szCs w:val="20"/>
              </w:rPr>
              <w:t>826</w:t>
            </w:r>
          </w:p>
        </w:tc>
        <w:tc>
          <w:tcPr>
            <w:tcW w:w="992" w:type="dxa"/>
            <w:vAlign w:val="center"/>
          </w:tcPr>
          <w:p w14:paraId="461DE382"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03ADCDB8"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3DB9B701" w14:textId="16AE5211" w:rsidR="008F4E4C" w:rsidRPr="008B1E99" w:rsidRDefault="008F29AC" w:rsidP="008F4E4C">
            <w:pPr>
              <w:jc w:val="right"/>
              <w:rPr>
                <w:rFonts w:ascii="Arial" w:hAnsi="Arial" w:cs="Arial"/>
                <w:sz w:val="20"/>
                <w:szCs w:val="20"/>
              </w:rPr>
            </w:pPr>
            <w:r>
              <w:rPr>
                <w:rFonts w:ascii="Arial" w:hAnsi="Arial" w:cs="Arial"/>
                <w:sz w:val="20"/>
                <w:szCs w:val="20"/>
              </w:rPr>
              <w:t>791</w:t>
            </w:r>
          </w:p>
        </w:tc>
        <w:tc>
          <w:tcPr>
            <w:tcW w:w="993" w:type="dxa"/>
            <w:vAlign w:val="center"/>
          </w:tcPr>
          <w:p w14:paraId="18AE6CD2" w14:textId="16E16DFF" w:rsidR="008F4E4C" w:rsidRPr="008B1E99" w:rsidRDefault="008F29AC" w:rsidP="008F29AC">
            <w:pPr>
              <w:jc w:val="right"/>
              <w:rPr>
                <w:rFonts w:ascii="Arial" w:hAnsi="Arial" w:cs="Arial"/>
                <w:sz w:val="20"/>
                <w:szCs w:val="20"/>
              </w:rPr>
            </w:pPr>
            <w:r>
              <w:rPr>
                <w:rFonts w:ascii="Arial" w:hAnsi="Arial" w:cs="Arial"/>
                <w:sz w:val="20"/>
                <w:szCs w:val="20"/>
              </w:rPr>
              <w:t>-791</w:t>
            </w:r>
          </w:p>
        </w:tc>
        <w:tc>
          <w:tcPr>
            <w:tcW w:w="992" w:type="dxa"/>
            <w:vAlign w:val="center"/>
          </w:tcPr>
          <w:p w14:paraId="76916464"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42C541B2"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24761CC3" w14:textId="6DCCA2A9" w:rsidR="008F4E4C" w:rsidRPr="008B1E99" w:rsidRDefault="008F29AC" w:rsidP="008F4E4C">
            <w:pPr>
              <w:jc w:val="right"/>
              <w:rPr>
                <w:rFonts w:ascii="Arial" w:hAnsi="Arial" w:cs="Arial"/>
                <w:sz w:val="20"/>
                <w:szCs w:val="20"/>
              </w:rPr>
            </w:pPr>
            <w:r>
              <w:rPr>
                <w:rFonts w:ascii="Arial" w:hAnsi="Arial" w:cs="Arial"/>
                <w:sz w:val="20"/>
                <w:szCs w:val="20"/>
              </w:rPr>
              <w:t>0</w:t>
            </w:r>
          </w:p>
        </w:tc>
      </w:tr>
      <w:tr w:rsidR="008F4E4C" w:rsidRPr="008B1E99" w14:paraId="1D8AA990" w14:textId="77777777" w:rsidTr="008F4E4C">
        <w:trPr>
          <w:trHeight w:val="510"/>
        </w:trPr>
        <w:tc>
          <w:tcPr>
            <w:tcW w:w="1843" w:type="dxa"/>
            <w:vAlign w:val="center"/>
          </w:tcPr>
          <w:p w14:paraId="6C4A6FFF" w14:textId="3D15DD8A" w:rsidR="008F4E4C" w:rsidRPr="008C0E4E" w:rsidRDefault="008F29AC" w:rsidP="008F4E4C">
            <w:pPr>
              <w:rPr>
                <w:rFonts w:ascii="Arial" w:hAnsi="Arial" w:cs="Arial"/>
                <w:b/>
                <w:sz w:val="20"/>
                <w:szCs w:val="20"/>
              </w:rPr>
            </w:pPr>
            <w:r>
              <w:rPr>
                <w:rFonts w:ascii="Arial" w:hAnsi="Arial" w:cs="Arial"/>
                <w:b/>
                <w:sz w:val="20"/>
                <w:szCs w:val="20"/>
              </w:rPr>
              <w:t xml:space="preserve">Major Projects </w:t>
            </w:r>
          </w:p>
        </w:tc>
        <w:tc>
          <w:tcPr>
            <w:tcW w:w="1134" w:type="dxa"/>
            <w:vAlign w:val="center"/>
          </w:tcPr>
          <w:p w14:paraId="7EB782DE" w14:textId="095C9110" w:rsidR="008F4E4C" w:rsidRPr="008B1E99" w:rsidRDefault="008F29AC" w:rsidP="008F29AC">
            <w:pPr>
              <w:jc w:val="right"/>
              <w:rPr>
                <w:rFonts w:ascii="Arial" w:hAnsi="Arial" w:cs="Arial"/>
                <w:sz w:val="20"/>
                <w:szCs w:val="20"/>
              </w:rPr>
            </w:pPr>
            <w:r>
              <w:rPr>
                <w:rFonts w:ascii="Arial" w:hAnsi="Arial" w:cs="Arial"/>
                <w:sz w:val="20"/>
                <w:szCs w:val="20"/>
              </w:rPr>
              <w:t>6,086</w:t>
            </w:r>
          </w:p>
        </w:tc>
        <w:tc>
          <w:tcPr>
            <w:tcW w:w="992" w:type="dxa"/>
            <w:vAlign w:val="center"/>
          </w:tcPr>
          <w:p w14:paraId="61247AF4" w14:textId="0EB819A6" w:rsidR="008F4E4C" w:rsidRPr="008B1E99" w:rsidRDefault="008F4E4C" w:rsidP="008F29AC">
            <w:pPr>
              <w:jc w:val="right"/>
              <w:rPr>
                <w:rFonts w:ascii="Arial" w:hAnsi="Arial" w:cs="Arial"/>
                <w:sz w:val="20"/>
                <w:szCs w:val="20"/>
              </w:rPr>
            </w:pPr>
            <w:r>
              <w:rPr>
                <w:rFonts w:ascii="Arial" w:hAnsi="Arial" w:cs="Arial"/>
                <w:sz w:val="20"/>
                <w:szCs w:val="20"/>
              </w:rPr>
              <w:t>-</w:t>
            </w:r>
            <w:r w:rsidR="008F29AC">
              <w:rPr>
                <w:rFonts w:ascii="Arial" w:hAnsi="Arial" w:cs="Arial"/>
                <w:sz w:val="20"/>
                <w:szCs w:val="20"/>
              </w:rPr>
              <w:t>6,337</w:t>
            </w:r>
          </w:p>
        </w:tc>
        <w:tc>
          <w:tcPr>
            <w:tcW w:w="993" w:type="dxa"/>
            <w:vAlign w:val="center"/>
          </w:tcPr>
          <w:p w14:paraId="4F8DC9AB" w14:textId="17E05118" w:rsidR="008F4E4C" w:rsidRPr="008B1E99" w:rsidRDefault="008F29AC" w:rsidP="008F4E4C">
            <w:pPr>
              <w:jc w:val="right"/>
              <w:rPr>
                <w:rFonts w:ascii="Arial" w:hAnsi="Arial" w:cs="Arial"/>
                <w:sz w:val="20"/>
                <w:szCs w:val="20"/>
              </w:rPr>
            </w:pPr>
            <w:r>
              <w:rPr>
                <w:rFonts w:ascii="Arial" w:hAnsi="Arial" w:cs="Arial"/>
                <w:sz w:val="20"/>
                <w:szCs w:val="20"/>
              </w:rPr>
              <w:t>1,744</w:t>
            </w:r>
          </w:p>
        </w:tc>
        <w:tc>
          <w:tcPr>
            <w:tcW w:w="992" w:type="dxa"/>
            <w:vAlign w:val="center"/>
          </w:tcPr>
          <w:p w14:paraId="0D7E7599"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47722534" w14:textId="23BCA66C" w:rsidR="008F4E4C" w:rsidRPr="008B1E99" w:rsidRDefault="008F29AC" w:rsidP="008F4E4C">
            <w:pPr>
              <w:jc w:val="right"/>
              <w:rPr>
                <w:rFonts w:ascii="Arial" w:hAnsi="Arial" w:cs="Arial"/>
                <w:sz w:val="20"/>
                <w:szCs w:val="20"/>
              </w:rPr>
            </w:pPr>
            <w:r>
              <w:rPr>
                <w:rFonts w:ascii="Arial" w:hAnsi="Arial" w:cs="Arial"/>
                <w:sz w:val="20"/>
                <w:szCs w:val="20"/>
              </w:rPr>
              <w:t>1,493</w:t>
            </w:r>
          </w:p>
        </w:tc>
        <w:tc>
          <w:tcPr>
            <w:tcW w:w="992" w:type="dxa"/>
            <w:vAlign w:val="center"/>
          </w:tcPr>
          <w:p w14:paraId="010A25B2" w14:textId="1B060629" w:rsidR="008F4E4C" w:rsidRPr="008B1E99" w:rsidRDefault="008F29AC" w:rsidP="008F29AC">
            <w:pPr>
              <w:jc w:val="right"/>
              <w:rPr>
                <w:rFonts w:ascii="Arial" w:hAnsi="Arial" w:cs="Arial"/>
                <w:sz w:val="20"/>
                <w:szCs w:val="20"/>
              </w:rPr>
            </w:pPr>
            <w:r>
              <w:rPr>
                <w:rFonts w:ascii="Arial" w:hAnsi="Arial" w:cs="Arial"/>
                <w:sz w:val="20"/>
                <w:szCs w:val="20"/>
              </w:rPr>
              <w:t>-1,946</w:t>
            </w:r>
          </w:p>
        </w:tc>
        <w:tc>
          <w:tcPr>
            <w:tcW w:w="992" w:type="dxa"/>
            <w:vAlign w:val="center"/>
          </w:tcPr>
          <w:p w14:paraId="7D54BD0E" w14:textId="6FAC2103" w:rsidR="008F4E4C" w:rsidRPr="008B1E99" w:rsidRDefault="008F29AC" w:rsidP="008F4E4C">
            <w:pPr>
              <w:jc w:val="right"/>
              <w:rPr>
                <w:rFonts w:ascii="Arial" w:hAnsi="Arial" w:cs="Arial"/>
                <w:sz w:val="20"/>
                <w:szCs w:val="20"/>
              </w:rPr>
            </w:pPr>
            <w:r>
              <w:rPr>
                <w:rFonts w:ascii="Arial" w:hAnsi="Arial" w:cs="Arial"/>
                <w:sz w:val="20"/>
                <w:szCs w:val="20"/>
              </w:rPr>
              <w:t>453</w:t>
            </w:r>
          </w:p>
        </w:tc>
        <w:tc>
          <w:tcPr>
            <w:tcW w:w="1134" w:type="dxa"/>
            <w:vAlign w:val="center"/>
          </w:tcPr>
          <w:p w14:paraId="36E5C669"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27F986FC"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993" w:type="dxa"/>
            <w:vAlign w:val="center"/>
          </w:tcPr>
          <w:p w14:paraId="2ABC270C"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0F32C55D"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29CA37A2"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4DC51A31"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r>
      <w:tr w:rsidR="008F4E4C" w:rsidRPr="008B1E99" w14:paraId="412FC2FD" w14:textId="77777777" w:rsidTr="008F4E4C">
        <w:trPr>
          <w:trHeight w:val="510"/>
        </w:trPr>
        <w:tc>
          <w:tcPr>
            <w:tcW w:w="1843" w:type="dxa"/>
            <w:vAlign w:val="center"/>
          </w:tcPr>
          <w:p w14:paraId="6B97B208" w14:textId="77777777" w:rsidR="008F4E4C" w:rsidRPr="008C0E4E" w:rsidRDefault="008F4E4C" w:rsidP="008F4E4C">
            <w:pPr>
              <w:rPr>
                <w:rFonts w:ascii="Arial" w:hAnsi="Arial" w:cs="Arial"/>
                <w:b/>
                <w:sz w:val="20"/>
                <w:szCs w:val="20"/>
              </w:rPr>
            </w:pPr>
            <w:r w:rsidRPr="008C0E4E">
              <w:rPr>
                <w:rFonts w:ascii="Arial" w:hAnsi="Arial" w:cs="Arial"/>
                <w:b/>
                <w:sz w:val="20"/>
                <w:szCs w:val="20"/>
              </w:rPr>
              <w:t>Extreme Incidents</w:t>
            </w:r>
          </w:p>
        </w:tc>
        <w:tc>
          <w:tcPr>
            <w:tcW w:w="1134" w:type="dxa"/>
            <w:vAlign w:val="center"/>
          </w:tcPr>
          <w:p w14:paraId="3595CA01" w14:textId="77777777" w:rsidR="008F4E4C" w:rsidRPr="008B1E99" w:rsidRDefault="008F4E4C" w:rsidP="008F4E4C">
            <w:pPr>
              <w:jc w:val="right"/>
              <w:rPr>
                <w:rFonts w:ascii="Arial" w:hAnsi="Arial" w:cs="Arial"/>
                <w:sz w:val="20"/>
                <w:szCs w:val="20"/>
              </w:rPr>
            </w:pPr>
            <w:r>
              <w:rPr>
                <w:rFonts w:ascii="Arial" w:hAnsi="Arial" w:cs="Arial"/>
                <w:sz w:val="20"/>
                <w:szCs w:val="20"/>
              </w:rPr>
              <w:t>334</w:t>
            </w:r>
          </w:p>
        </w:tc>
        <w:tc>
          <w:tcPr>
            <w:tcW w:w="992" w:type="dxa"/>
            <w:vAlign w:val="center"/>
          </w:tcPr>
          <w:p w14:paraId="4E734DD2"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3" w:type="dxa"/>
            <w:vAlign w:val="center"/>
          </w:tcPr>
          <w:p w14:paraId="387D59BD"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3BE88971"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62ED8F76" w14:textId="77777777" w:rsidR="008F4E4C" w:rsidRPr="008B1E99" w:rsidRDefault="008F4E4C" w:rsidP="008F4E4C">
            <w:pPr>
              <w:jc w:val="right"/>
              <w:rPr>
                <w:rFonts w:ascii="Arial" w:hAnsi="Arial" w:cs="Arial"/>
                <w:sz w:val="20"/>
                <w:szCs w:val="20"/>
              </w:rPr>
            </w:pPr>
            <w:r>
              <w:rPr>
                <w:rFonts w:ascii="Arial" w:hAnsi="Arial" w:cs="Arial"/>
                <w:sz w:val="20"/>
                <w:szCs w:val="20"/>
              </w:rPr>
              <w:t>334</w:t>
            </w:r>
          </w:p>
        </w:tc>
        <w:tc>
          <w:tcPr>
            <w:tcW w:w="992" w:type="dxa"/>
            <w:vAlign w:val="center"/>
          </w:tcPr>
          <w:p w14:paraId="4EA592C9"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40FCF898"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43D9B550"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120D8C97"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3</w:t>
            </w:r>
            <w:r>
              <w:rPr>
                <w:rFonts w:ascii="Arial" w:hAnsi="Arial" w:cs="Arial"/>
                <w:sz w:val="20"/>
                <w:szCs w:val="20"/>
              </w:rPr>
              <w:t>34</w:t>
            </w:r>
          </w:p>
        </w:tc>
        <w:tc>
          <w:tcPr>
            <w:tcW w:w="993" w:type="dxa"/>
            <w:vAlign w:val="center"/>
          </w:tcPr>
          <w:p w14:paraId="2CD73E1F"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5876E6C1"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647F5C7E"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050C3A93"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3</w:t>
            </w:r>
            <w:r>
              <w:rPr>
                <w:rFonts w:ascii="Arial" w:hAnsi="Arial" w:cs="Arial"/>
                <w:sz w:val="20"/>
                <w:szCs w:val="20"/>
              </w:rPr>
              <w:t>34</w:t>
            </w:r>
          </w:p>
        </w:tc>
      </w:tr>
      <w:tr w:rsidR="008F4E4C" w:rsidRPr="008B1E99" w14:paraId="18E70C3B" w14:textId="77777777" w:rsidTr="008F4E4C">
        <w:trPr>
          <w:trHeight w:val="510"/>
        </w:trPr>
        <w:tc>
          <w:tcPr>
            <w:tcW w:w="1843" w:type="dxa"/>
            <w:vAlign w:val="center"/>
          </w:tcPr>
          <w:p w14:paraId="6058367B" w14:textId="77777777" w:rsidR="008F4E4C" w:rsidRPr="008C0E4E" w:rsidRDefault="008F4E4C" w:rsidP="008F4E4C">
            <w:pPr>
              <w:rPr>
                <w:rFonts w:ascii="Arial" w:hAnsi="Arial" w:cs="Arial"/>
                <w:b/>
                <w:sz w:val="20"/>
                <w:szCs w:val="20"/>
              </w:rPr>
            </w:pPr>
            <w:r w:rsidRPr="008C0E4E">
              <w:rPr>
                <w:rFonts w:ascii="Arial" w:hAnsi="Arial" w:cs="Arial"/>
                <w:b/>
                <w:sz w:val="20"/>
                <w:szCs w:val="20"/>
              </w:rPr>
              <w:t>Pensions and Other Staff Matters</w:t>
            </w:r>
          </w:p>
        </w:tc>
        <w:tc>
          <w:tcPr>
            <w:tcW w:w="1134" w:type="dxa"/>
            <w:vAlign w:val="center"/>
          </w:tcPr>
          <w:p w14:paraId="332EECF8" w14:textId="114754E1" w:rsidR="008F4E4C" w:rsidRPr="008B1E99" w:rsidRDefault="008F29AC" w:rsidP="008F4E4C">
            <w:pPr>
              <w:jc w:val="right"/>
              <w:rPr>
                <w:rFonts w:ascii="Arial" w:hAnsi="Arial" w:cs="Arial"/>
                <w:sz w:val="20"/>
                <w:szCs w:val="20"/>
              </w:rPr>
            </w:pPr>
            <w:r>
              <w:rPr>
                <w:rFonts w:ascii="Arial" w:hAnsi="Arial" w:cs="Arial"/>
                <w:sz w:val="20"/>
                <w:szCs w:val="20"/>
              </w:rPr>
              <w:t>930</w:t>
            </w:r>
          </w:p>
        </w:tc>
        <w:tc>
          <w:tcPr>
            <w:tcW w:w="992" w:type="dxa"/>
            <w:vAlign w:val="center"/>
          </w:tcPr>
          <w:p w14:paraId="2A45A93B" w14:textId="42B2DC74" w:rsidR="008F4E4C" w:rsidRPr="008B1E99" w:rsidRDefault="008F4E4C" w:rsidP="008F29AC">
            <w:pPr>
              <w:jc w:val="right"/>
              <w:rPr>
                <w:rFonts w:ascii="Arial" w:hAnsi="Arial" w:cs="Arial"/>
                <w:sz w:val="20"/>
                <w:szCs w:val="20"/>
              </w:rPr>
            </w:pPr>
            <w:r w:rsidRPr="008B1E99">
              <w:rPr>
                <w:rFonts w:ascii="Arial" w:hAnsi="Arial" w:cs="Arial"/>
                <w:sz w:val="20"/>
                <w:szCs w:val="20"/>
              </w:rPr>
              <w:t>-</w:t>
            </w:r>
            <w:r w:rsidR="008F29AC">
              <w:rPr>
                <w:rFonts w:ascii="Arial" w:hAnsi="Arial" w:cs="Arial"/>
                <w:sz w:val="20"/>
                <w:szCs w:val="20"/>
              </w:rPr>
              <w:t>60</w:t>
            </w:r>
          </w:p>
        </w:tc>
        <w:tc>
          <w:tcPr>
            <w:tcW w:w="993" w:type="dxa"/>
            <w:vAlign w:val="center"/>
          </w:tcPr>
          <w:p w14:paraId="4D7A0CA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5E455DA7"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2626C5D5" w14:textId="054A13C2" w:rsidR="008F4E4C" w:rsidRPr="008B1E99" w:rsidRDefault="008F29AC" w:rsidP="008F4E4C">
            <w:pPr>
              <w:jc w:val="right"/>
              <w:rPr>
                <w:rFonts w:ascii="Arial" w:hAnsi="Arial" w:cs="Arial"/>
                <w:sz w:val="20"/>
                <w:szCs w:val="20"/>
              </w:rPr>
            </w:pPr>
            <w:r>
              <w:rPr>
                <w:rFonts w:ascii="Arial" w:hAnsi="Arial" w:cs="Arial"/>
                <w:sz w:val="20"/>
                <w:szCs w:val="20"/>
              </w:rPr>
              <w:t>870</w:t>
            </w:r>
          </w:p>
        </w:tc>
        <w:tc>
          <w:tcPr>
            <w:tcW w:w="992" w:type="dxa"/>
            <w:vAlign w:val="center"/>
          </w:tcPr>
          <w:p w14:paraId="38804104" w14:textId="5B3AC693" w:rsidR="008F4E4C" w:rsidRPr="008B1E99" w:rsidRDefault="008F4E4C" w:rsidP="008F29AC">
            <w:pPr>
              <w:jc w:val="right"/>
              <w:rPr>
                <w:rFonts w:ascii="Arial" w:hAnsi="Arial" w:cs="Arial"/>
                <w:sz w:val="20"/>
                <w:szCs w:val="20"/>
              </w:rPr>
            </w:pPr>
            <w:r>
              <w:rPr>
                <w:rFonts w:ascii="Arial" w:hAnsi="Arial" w:cs="Arial"/>
                <w:sz w:val="20"/>
                <w:szCs w:val="20"/>
              </w:rPr>
              <w:t>-</w:t>
            </w:r>
            <w:r w:rsidR="008F29AC">
              <w:rPr>
                <w:rFonts w:ascii="Arial" w:hAnsi="Arial" w:cs="Arial"/>
                <w:sz w:val="20"/>
                <w:szCs w:val="20"/>
              </w:rPr>
              <w:t>120</w:t>
            </w:r>
          </w:p>
        </w:tc>
        <w:tc>
          <w:tcPr>
            <w:tcW w:w="992" w:type="dxa"/>
            <w:vAlign w:val="center"/>
          </w:tcPr>
          <w:p w14:paraId="2B4AF89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763087C8"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3ED60150" w14:textId="50588F9F" w:rsidR="008F4E4C" w:rsidRPr="008B1E99" w:rsidRDefault="008F29AC" w:rsidP="008F4E4C">
            <w:pPr>
              <w:jc w:val="right"/>
              <w:rPr>
                <w:rFonts w:ascii="Arial" w:hAnsi="Arial" w:cs="Arial"/>
                <w:sz w:val="20"/>
                <w:szCs w:val="20"/>
              </w:rPr>
            </w:pPr>
            <w:r>
              <w:rPr>
                <w:rFonts w:ascii="Arial" w:hAnsi="Arial" w:cs="Arial"/>
                <w:sz w:val="20"/>
                <w:szCs w:val="20"/>
              </w:rPr>
              <w:t>750</w:t>
            </w:r>
          </w:p>
        </w:tc>
        <w:tc>
          <w:tcPr>
            <w:tcW w:w="993" w:type="dxa"/>
            <w:vAlign w:val="center"/>
          </w:tcPr>
          <w:p w14:paraId="32FD2511" w14:textId="5070A42D" w:rsidR="008F4E4C" w:rsidRPr="008B1E99" w:rsidRDefault="008F4E4C" w:rsidP="008F29AC">
            <w:pPr>
              <w:jc w:val="right"/>
              <w:rPr>
                <w:rFonts w:ascii="Arial" w:hAnsi="Arial" w:cs="Arial"/>
                <w:sz w:val="20"/>
                <w:szCs w:val="20"/>
              </w:rPr>
            </w:pPr>
            <w:r>
              <w:rPr>
                <w:rFonts w:ascii="Arial" w:hAnsi="Arial" w:cs="Arial"/>
                <w:sz w:val="20"/>
                <w:szCs w:val="20"/>
              </w:rPr>
              <w:t>-</w:t>
            </w:r>
            <w:r w:rsidR="008F29AC">
              <w:rPr>
                <w:rFonts w:ascii="Arial" w:hAnsi="Arial" w:cs="Arial"/>
                <w:sz w:val="20"/>
                <w:szCs w:val="20"/>
              </w:rPr>
              <w:t>180</w:t>
            </w:r>
          </w:p>
        </w:tc>
        <w:tc>
          <w:tcPr>
            <w:tcW w:w="992" w:type="dxa"/>
            <w:vAlign w:val="center"/>
          </w:tcPr>
          <w:p w14:paraId="3483D033"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3FD6F1E5"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340AAEF7" w14:textId="77777777" w:rsidR="008F4E4C" w:rsidRPr="008B1E99" w:rsidRDefault="008F4E4C" w:rsidP="008F4E4C">
            <w:pPr>
              <w:jc w:val="right"/>
              <w:rPr>
                <w:rFonts w:ascii="Arial" w:hAnsi="Arial" w:cs="Arial"/>
                <w:sz w:val="20"/>
                <w:szCs w:val="20"/>
              </w:rPr>
            </w:pPr>
            <w:r>
              <w:rPr>
                <w:rFonts w:ascii="Arial" w:hAnsi="Arial" w:cs="Arial"/>
                <w:sz w:val="20"/>
                <w:szCs w:val="20"/>
              </w:rPr>
              <w:t>550</w:t>
            </w:r>
          </w:p>
        </w:tc>
      </w:tr>
      <w:tr w:rsidR="008F4E4C" w:rsidRPr="008B1E99" w14:paraId="6257BF01" w14:textId="77777777" w:rsidTr="008F4E4C">
        <w:trPr>
          <w:trHeight w:val="510"/>
        </w:trPr>
        <w:tc>
          <w:tcPr>
            <w:tcW w:w="1843" w:type="dxa"/>
            <w:vAlign w:val="center"/>
          </w:tcPr>
          <w:p w14:paraId="72CCE662" w14:textId="77777777" w:rsidR="008F4E4C" w:rsidRPr="008C0E4E" w:rsidRDefault="008F4E4C" w:rsidP="008F4E4C">
            <w:pPr>
              <w:rPr>
                <w:rFonts w:ascii="Arial" w:hAnsi="Arial" w:cs="Arial"/>
                <w:b/>
                <w:sz w:val="20"/>
                <w:szCs w:val="20"/>
              </w:rPr>
            </w:pPr>
            <w:r w:rsidRPr="008C0E4E">
              <w:rPr>
                <w:rFonts w:ascii="Arial" w:hAnsi="Arial" w:cs="Arial"/>
                <w:b/>
                <w:sz w:val="20"/>
                <w:szCs w:val="20"/>
              </w:rPr>
              <w:t>Information and Communications Technology (ICT)</w:t>
            </w:r>
          </w:p>
        </w:tc>
        <w:tc>
          <w:tcPr>
            <w:tcW w:w="1134" w:type="dxa"/>
            <w:vAlign w:val="center"/>
          </w:tcPr>
          <w:p w14:paraId="39AF2B39" w14:textId="77777777" w:rsidR="008F4E4C" w:rsidRPr="008B1E99" w:rsidRDefault="008F4E4C" w:rsidP="008F4E4C">
            <w:pPr>
              <w:jc w:val="right"/>
              <w:rPr>
                <w:rFonts w:ascii="Arial" w:hAnsi="Arial" w:cs="Arial"/>
                <w:sz w:val="20"/>
                <w:szCs w:val="20"/>
              </w:rPr>
            </w:pPr>
            <w:r>
              <w:rPr>
                <w:rFonts w:ascii="Arial" w:hAnsi="Arial" w:cs="Arial"/>
                <w:sz w:val="20"/>
                <w:szCs w:val="20"/>
              </w:rPr>
              <w:t>1,083</w:t>
            </w:r>
          </w:p>
        </w:tc>
        <w:tc>
          <w:tcPr>
            <w:tcW w:w="992" w:type="dxa"/>
            <w:vAlign w:val="center"/>
          </w:tcPr>
          <w:p w14:paraId="1019F9A9" w14:textId="2A624D2C" w:rsidR="008F4E4C" w:rsidRPr="008B1E99" w:rsidRDefault="008F29AC" w:rsidP="008F4E4C">
            <w:pPr>
              <w:jc w:val="right"/>
              <w:rPr>
                <w:rFonts w:ascii="Arial" w:hAnsi="Arial" w:cs="Arial"/>
                <w:sz w:val="20"/>
                <w:szCs w:val="20"/>
              </w:rPr>
            </w:pPr>
            <w:r>
              <w:rPr>
                <w:rFonts w:ascii="Arial" w:hAnsi="Arial" w:cs="Arial"/>
                <w:sz w:val="20"/>
                <w:szCs w:val="20"/>
              </w:rPr>
              <w:t>-615</w:t>
            </w:r>
          </w:p>
        </w:tc>
        <w:tc>
          <w:tcPr>
            <w:tcW w:w="993" w:type="dxa"/>
            <w:vAlign w:val="center"/>
          </w:tcPr>
          <w:p w14:paraId="4F8B749A"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3405183B"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427F5292" w14:textId="6D728647" w:rsidR="008F4E4C" w:rsidRPr="008B1E99" w:rsidRDefault="008F29AC" w:rsidP="008F4E4C">
            <w:pPr>
              <w:jc w:val="right"/>
              <w:rPr>
                <w:rFonts w:ascii="Arial" w:hAnsi="Arial" w:cs="Arial"/>
                <w:sz w:val="20"/>
                <w:szCs w:val="20"/>
              </w:rPr>
            </w:pPr>
            <w:r>
              <w:rPr>
                <w:rFonts w:ascii="Arial" w:hAnsi="Arial" w:cs="Arial"/>
                <w:sz w:val="20"/>
                <w:szCs w:val="20"/>
              </w:rPr>
              <w:t>468</w:t>
            </w:r>
          </w:p>
        </w:tc>
        <w:tc>
          <w:tcPr>
            <w:tcW w:w="992" w:type="dxa"/>
            <w:vAlign w:val="center"/>
          </w:tcPr>
          <w:p w14:paraId="298F7B4A"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992" w:type="dxa"/>
            <w:vAlign w:val="center"/>
          </w:tcPr>
          <w:p w14:paraId="00798DF8"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52480C87"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3115820B" w14:textId="623702A4" w:rsidR="008F4E4C" w:rsidRPr="008B1E99" w:rsidRDefault="008F29AC" w:rsidP="008F4E4C">
            <w:pPr>
              <w:jc w:val="right"/>
              <w:rPr>
                <w:rFonts w:ascii="Arial" w:hAnsi="Arial" w:cs="Arial"/>
                <w:sz w:val="20"/>
                <w:szCs w:val="20"/>
              </w:rPr>
            </w:pPr>
            <w:r>
              <w:rPr>
                <w:rFonts w:ascii="Arial" w:hAnsi="Arial" w:cs="Arial"/>
                <w:sz w:val="20"/>
                <w:szCs w:val="20"/>
              </w:rPr>
              <w:t>468</w:t>
            </w:r>
          </w:p>
        </w:tc>
        <w:tc>
          <w:tcPr>
            <w:tcW w:w="993" w:type="dxa"/>
            <w:vAlign w:val="center"/>
          </w:tcPr>
          <w:p w14:paraId="212AADA0"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7D538D7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096807B9"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76FCFBE0" w14:textId="43ACA81B" w:rsidR="008F4E4C" w:rsidRPr="008B1E99" w:rsidRDefault="008F29AC" w:rsidP="008F4E4C">
            <w:pPr>
              <w:jc w:val="right"/>
              <w:rPr>
                <w:rFonts w:ascii="Arial" w:hAnsi="Arial" w:cs="Arial"/>
                <w:sz w:val="20"/>
                <w:szCs w:val="20"/>
              </w:rPr>
            </w:pPr>
            <w:r>
              <w:rPr>
                <w:rFonts w:ascii="Arial" w:hAnsi="Arial" w:cs="Arial"/>
                <w:sz w:val="20"/>
                <w:szCs w:val="20"/>
              </w:rPr>
              <w:t>468</w:t>
            </w:r>
          </w:p>
        </w:tc>
      </w:tr>
      <w:tr w:rsidR="008F4E4C" w:rsidRPr="008B1E99" w14:paraId="043B0341" w14:textId="77777777" w:rsidTr="008F4E4C">
        <w:trPr>
          <w:trHeight w:val="510"/>
        </w:trPr>
        <w:tc>
          <w:tcPr>
            <w:tcW w:w="1843" w:type="dxa"/>
            <w:vAlign w:val="center"/>
          </w:tcPr>
          <w:p w14:paraId="5B47624D" w14:textId="77777777" w:rsidR="008F4E4C" w:rsidRPr="008C0E4E" w:rsidRDefault="008F4E4C" w:rsidP="008F4E4C">
            <w:pPr>
              <w:rPr>
                <w:rFonts w:ascii="Arial" w:hAnsi="Arial" w:cs="Arial"/>
                <w:b/>
                <w:sz w:val="20"/>
                <w:szCs w:val="20"/>
              </w:rPr>
            </w:pPr>
            <w:r w:rsidRPr="008C0E4E">
              <w:rPr>
                <w:rFonts w:ascii="Arial" w:hAnsi="Arial" w:cs="Arial"/>
                <w:b/>
                <w:sz w:val="20"/>
                <w:szCs w:val="20"/>
              </w:rPr>
              <w:t>Income Volatility</w:t>
            </w:r>
          </w:p>
        </w:tc>
        <w:tc>
          <w:tcPr>
            <w:tcW w:w="1134" w:type="dxa"/>
            <w:vAlign w:val="center"/>
          </w:tcPr>
          <w:p w14:paraId="5C93151D" w14:textId="5C107EAF" w:rsidR="008F4E4C" w:rsidRPr="008B1E99" w:rsidRDefault="008F29AC" w:rsidP="008F4E4C">
            <w:pPr>
              <w:jc w:val="right"/>
              <w:rPr>
                <w:rFonts w:ascii="Arial" w:hAnsi="Arial" w:cs="Arial"/>
                <w:sz w:val="20"/>
                <w:szCs w:val="20"/>
              </w:rPr>
            </w:pPr>
            <w:r>
              <w:rPr>
                <w:rFonts w:ascii="Arial" w:hAnsi="Arial" w:cs="Arial"/>
                <w:sz w:val="20"/>
                <w:szCs w:val="20"/>
              </w:rPr>
              <w:t>237</w:t>
            </w:r>
          </w:p>
        </w:tc>
        <w:tc>
          <w:tcPr>
            <w:tcW w:w="992" w:type="dxa"/>
            <w:vAlign w:val="center"/>
          </w:tcPr>
          <w:p w14:paraId="119DDE04" w14:textId="264FC788" w:rsidR="008F4E4C" w:rsidRPr="008B1E99" w:rsidRDefault="008F29AC" w:rsidP="008F29AC">
            <w:pPr>
              <w:jc w:val="right"/>
              <w:rPr>
                <w:rFonts w:ascii="Arial" w:hAnsi="Arial" w:cs="Arial"/>
                <w:sz w:val="20"/>
                <w:szCs w:val="20"/>
              </w:rPr>
            </w:pPr>
            <w:r>
              <w:rPr>
                <w:rFonts w:ascii="Arial" w:hAnsi="Arial" w:cs="Arial"/>
                <w:sz w:val="20"/>
                <w:szCs w:val="20"/>
              </w:rPr>
              <w:t>-107</w:t>
            </w:r>
          </w:p>
        </w:tc>
        <w:tc>
          <w:tcPr>
            <w:tcW w:w="993" w:type="dxa"/>
            <w:vAlign w:val="center"/>
          </w:tcPr>
          <w:p w14:paraId="705B092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6F7C1FB8"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07D9D959" w14:textId="7CA5C907" w:rsidR="008F4E4C" w:rsidRPr="008B1E99" w:rsidRDefault="008F29AC" w:rsidP="008F4E4C">
            <w:pPr>
              <w:jc w:val="right"/>
              <w:rPr>
                <w:rFonts w:ascii="Arial" w:hAnsi="Arial" w:cs="Arial"/>
                <w:sz w:val="20"/>
                <w:szCs w:val="20"/>
              </w:rPr>
            </w:pPr>
            <w:r>
              <w:rPr>
                <w:rFonts w:ascii="Arial" w:hAnsi="Arial" w:cs="Arial"/>
                <w:sz w:val="20"/>
                <w:szCs w:val="20"/>
              </w:rPr>
              <w:t>130</w:t>
            </w:r>
          </w:p>
        </w:tc>
        <w:tc>
          <w:tcPr>
            <w:tcW w:w="992" w:type="dxa"/>
            <w:vAlign w:val="center"/>
          </w:tcPr>
          <w:p w14:paraId="4B73D66A"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35F58B5B"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27EFFCA6"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3CBC36EF" w14:textId="67996BC0" w:rsidR="008F4E4C" w:rsidRPr="008B1E99" w:rsidRDefault="008F29AC" w:rsidP="008F4E4C">
            <w:pPr>
              <w:jc w:val="right"/>
              <w:rPr>
                <w:rFonts w:ascii="Arial" w:hAnsi="Arial" w:cs="Arial"/>
                <w:sz w:val="20"/>
                <w:szCs w:val="20"/>
              </w:rPr>
            </w:pPr>
            <w:r>
              <w:rPr>
                <w:rFonts w:ascii="Arial" w:hAnsi="Arial" w:cs="Arial"/>
                <w:sz w:val="20"/>
                <w:szCs w:val="20"/>
              </w:rPr>
              <w:t>130</w:t>
            </w:r>
          </w:p>
        </w:tc>
        <w:tc>
          <w:tcPr>
            <w:tcW w:w="993" w:type="dxa"/>
            <w:vAlign w:val="center"/>
          </w:tcPr>
          <w:p w14:paraId="1B94455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2235F91F"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0BA2E92A"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03D7AE01" w14:textId="745B5EBD" w:rsidR="008F4E4C" w:rsidRPr="008B1E99" w:rsidRDefault="008F29AC" w:rsidP="008F4E4C">
            <w:pPr>
              <w:jc w:val="right"/>
              <w:rPr>
                <w:rFonts w:ascii="Arial" w:hAnsi="Arial" w:cs="Arial"/>
                <w:sz w:val="20"/>
                <w:szCs w:val="20"/>
              </w:rPr>
            </w:pPr>
            <w:r>
              <w:rPr>
                <w:rFonts w:ascii="Arial" w:hAnsi="Arial" w:cs="Arial"/>
                <w:sz w:val="20"/>
                <w:szCs w:val="20"/>
              </w:rPr>
              <w:t>130</w:t>
            </w:r>
          </w:p>
        </w:tc>
      </w:tr>
      <w:tr w:rsidR="008F4E4C" w:rsidRPr="008B1E99" w14:paraId="11870D00" w14:textId="77777777" w:rsidTr="008F4E4C">
        <w:trPr>
          <w:trHeight w:val="510"/>
        </w:trPr>
        <w:tc>
          <w:tcPr>
            <w:tcW w:w="1843" w:type="dxa"/>
            <w:vAlign w:val="center"/>
          </w:tcPr>
          <w:p w14:paraId="66F89281" w14:textId="77777777" w:rsidR="008F4E4C" w:rsidRPr="008C0E4E" w:rsidRDefault="008F4E4C" w:rsidP="008F4E4C">
            <w:pPr>
              <w:rPr>
                <w:rFonts w:ascii="Arial" w:hAnsi="Arial" w:cs="Arial"/>
                <w:b/>
                <w:sz w:val="20"/>
                <w:szCs w:val="20"/>
              </w:rPr>
            </w:pPr>
            <w:r w:rsidRPr="008C0E4E">
              <w:rPr>
                <w:rFonts w:ascii="Arial" w:hAnsi="Arial" w:cs="Arial"/>
                <w:b/>
                <w:sz w:val="20"/>
                <w:szCs w:val="20"/>
              </w:rPr>
              <w:t>Service Transformation Programme Staff</w:t>
            </w:r>
          </w:p>
        </w:tc>
        <w:tc>
          <w:tcPr>
            <w:tcW w:w="1134" w:type="dxa"/>
            <w:vAlign w:val="center"/>
          </w:tcPr>
          <w:p w14:paraId="69193A0D" w14:textId="67BDFC36" w:rsidR="008F4E4C" w:rsidRPr="008B1E99" w:rsidRDefault="008F29AC" w:rsidP="008F29AC">
            <w:pPr>
              <w:jc w:val="right"/>
              <w:rPr>
                <w:rFonts w:ascii="Arial" w:hAnsi="Arial" w:cs="Arial"/>
                <w:sz w:val="20"/>
                <w:szCs w:val="20"/>
              </w:rPr>
            </w:pPr>
            <w:r>
              <w:rPr>
                <w:rFonts w:ascii="Arial" w:hAnsi="Arial" w:cs="Arial"/>
                <w:sz w:val="20"/>
                <w:szCs w:val="20"/>
              </w:rPr>
              <w:t>250</w:t>
            </w:r>
          </w:p>
        </w:tc>
        <w:tc>
          <w:tcPr>
            <w:tcW w:w="992" w:type="dxa"/>
            <w:vAlign w:val="center"/>
          </w:tcPr>
          <w:p w14:paraId="07D4E0BD" w14:textId="664A67AA" w:rsidR="008F4E4C" w:rsidRPr="008B1E99" w:rsidRDefault="008F29AC" w:rsidP="008F29AC">
            <w:pPr>
              <w:jc w:val="right"/>
              <w:rPr>
                <w:rFonts w:ascii="Arial" w:hAnsi="Arial" w:cs="Arial"/>
                <w:sz w:val="20"/>
                <w:szCs w:val="20"/>
              </w:rPr>
            </w:pPr>
            <w:r>
              <w:rPr>
                <w:rFonts w:ascii="Arial" w:hAnsi="Arial" w:cs="Arial"/>
                <w:sz w:val="20"/>
                <w:szCs w:val="20"/>
              </w:rPr>
              <w:t>-50</w:t>
            </w:r>
          </w:p>
        </w:tc>
        <w:tc>
          <w:tcPr>
            <w:tcW w:w="993" w:type="dxa"/>
            <w:vAlign w:val="center"/>
          </w:tcPr>
          <w:p w14:paraId="0CBE683D"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7FB19AC3"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5B8B2A4B" w14:textId="501F1A0B" w:rsidR="008F4E4C" w:rsidRPr="008B1E99" w:rsidRDefault="008F29AC" w:rsidP="008F4E4C">
            <w:pPr>
              <w:jc w:val="right"/>
              <w:rPr>
                <w:rFonts w:ascii="Arial" w:hAnsi="Arial" w:cs="Arial"/>
                <w:sz w:val="20"/>
                <w:szCs w:val="20"/>
              </w:rPr>
            </w:pPr>
            <w:r>
              <w:rPr>
                <w:rFonts w:ascii="Arial" w:hAnsi="Arial" w:cs="Arial"/>
                <w:sz w:val="20"/>
                <w:szCs w:val="20"/>
              </w:rPr>
              <w:t>200</w:t>
            </w:r>
          </w:p>
        </w:tc>
        <w:tc>
          <w:tcPr>
            <w:tcW w:w="992" w:type="dxa"/>
            <w:vAlign w:val="center"/>
          </w:tcPr>
          <w:p w14:paraId="04E2580A" w14:textId="3092B423" w:rsidR="008F4E4C" w:rsidRPr="008B1E99" w:rsidRDefault="008F29AC" w:rsidP="008F4E4C">
            <w:pPr>
              <w:jc w:val="right"/>
              <w:rPr>
                <w:rFonts w:ascii="Arial" w:hAnsi="Arial" w:cs="Arial"/>
                <w:sz w:val="20"/>
                <w:szCs w:val="20"/>
              </w:rPr>
            </w:pPr>
            <w:r>
              <w:rPr>
                <w:rFonts w:ascii="Arial" w:hAnsi="Arial" w:cs="Arial"/>
                <w:sz w:val="20"/>
                <w:szCs w:val="20"/>
              </w:rPr>
              <w:t>-5</w:t>
            </w:r>
            <w:r w:rsidR="008F4E4C">
              <w:rPr>
                <w:rFonts w:ascii="Arial" w:hAnsi="Arial" w:cs="Arial"/>
                <w:sz w:val="20"/>
                <w:szCs w:val="20"/>
              </w:rPr>
              <w:t>0</w:t>
            </w:r>
          </w:p>
        </w:tc>
        <w:tc>
          <w:tcPr>
            <w:tcW w:w="992" w:type="dxa"/>
            <w:vAlign w:val="center"/>
          </w:tcPr>
          <w:p w14:paraId="7A583479"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24E1F2A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0B27C645" w14:textId="33374D58" w:rsidR="008F4E4C" w:rsidRPr="008B1E99" w:rsidRDefault="008F29AC" w:rsidP="008F4E4C">
            <w:pPr>
              <w:jc w:val="right"/>
              <w:rPr>
                <w:rFonts w:ascii="Arial" w:hAnsi="Arial" w:cs="Arial"/>
                <w:sz w:val="20"/>
                <w:szCs w:val="20"/>
              </w:rPr>
            </w:pPr>
            <w:r>
              <w:rPr>
                <w:rFonts w:ascii="Arial" w:hAnsi="Arial" w:cs="Arial"/>
                <w:sz w:val="20"/>
                <w:szCs w:val="20"/>
              </w:rPr>
              <w:t>15</w:t>
            </w:r>
            <w:r w:rsidR="008F4E4C">
              <w:rPr>
                <w:rFonts w:ascii="Arial" w:hAnsi="Arial" w:cs="Arial"/>
                <w:sz w:val="20"/>
                <w:szCs w:val="20"/>
              </w:rPr>
              <w:t>0</w:t>
            </w:r>
          </w:p>
        </w:tc>
        <w:tc>
          <w:tcPr>
            <w:tcW w:w="993" w:type="dxa"/>
            <w:vAlign w:val="center"/>
          </w:tcPr>
          <w:p w14:paraId="0FEDFC5E" w14:textId="53B7C512" w:rsidR="008F4E4C" w:rsidRPr="008B1E99" w:rsidRDefault="008F29AC" w:rsidP="008F4E4C">
            <w:pPr>
              <w:jc w:val="right"/>
              <w:rPr>
                <w:rFonts w:ascii="Arial" w:hAnsi="Arial" w:cs="Arial"/>
                <w:sz w:val="20"/>
                <w:szCs w:val="20"/>
              </w:rPr>
            </w:pPr>
            <w:r>
              <w:rPr>
                <w:rFonts w:ascii="Arial" w:hAnsi="Arial" w:cs="Arial"/>
                <w:sz w:val="20"/>
                <w:szCs w:val="20"/>
              </w:rPr>
              <w:t>-5</w:t>
            </w:r>
            <w:r w:rsidR="008F4E4C">
              <w:rPr>
                <w:rFonts w:ascii="Arial" w:hAnsi="Arial" w:cs="Arial"/>
                <w:sz w:val="20"/>
                <w:szCs w:val="20"/>
              </w:rPr>
              <w:t>0</w:t>
            </w:r>
          </w:p>
        </w:tc>
        <w:tc>
          <w:tcPr>
            <w:tcW w:w="992" w:type="dxa"/>
            <w:vAlign w:val="center"/>
          </w:tcPr>
          <w:p w14:paraId="37F75793"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26E76970"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16C4A8A9" w14:textId="0CA9E449" w:rsidR="008F4E4C" w:rsidRPr="008B1E99" w:rsidRDefault="008F29AC" w:rsidP="008F4E4C">
            <w:pPr>
              <w:jc w:val="right"/>
              <w:rPr>
                <w:rFonts w:ascii="Arial" w:hAnsi="Arial" w:cs="Arial"/>
                <w:sz w:val="20"/>
                <w:szCs w:val="20"/>
              </w:rPr>
            </w:pPr>
            <w:r>
              <w:rPr>
                <w:rFonts w:ascii="Arial" w:hAnsi="Arial" w:cs="Arial"/>
                <w:sz w:val="20"/>
                <w:szCs w:val="20"/>
              </w:rPr>
              <w:t>10</w:t>
            </w:r>
            <w:r w:rsidR="008F4E4C">
              <w:rPr>
                <w:rFonts w:ascii="Arial" w:hAnsi="Arial" w:cs="Arial"/>
                <w:sz w:val="20"/>
                <w:szCs w:val="20"/>
              </w:rPr>
              <w:t>0</w:t>
            </w:r>
          </w:p>
        </w:tc>
      </w:tr>
      <w:tr w:rsidR="008F4E4C" w:rsidRPr="008B1E99" w14:paraId="716969EC" w14:textId="77777777" w:rsidTr="008F4E4C">
        <w:trPr>
          <w:trHeight w:val="510"/>
        </w:trPr>
        <w:tc>
          <w:tcPr>
            <w:tcW w:w="1843" w:type="dxa"/>
            <w:vAlign w:val="center"/>
          </w:tcPr>
          <w:p w14:paraId="050A75EC" w14:textId="77777777" w:rsidR="008F4E4C" w:rsidRPr="008C0E4E" w:rsidRDefault="008F4E4C" w:rsidP="008F4E4C">
            <w:pPr>
              <w:rPr>
                <w:rFonts w:ascii="Arial" w:hAnsi="Arial" w:cs="Arial"/>
                <w:b/>
                <w:sz w:val="20"/>
                <w:szCs w:val="20"/>
              </w:rPr>
            </w:pPr>
            <w:r w:rsidRPr="008C0E4E">
              <w:rPr>
                <w:rFonts w:ascii="Arial" w:hAnsi="Arial" w:cs="Arial"/>
                <w:b/>
                <w:sz w:val="20"/>
                <w:szCs w:val="20"/>
              </w:rPr>
              <w:t>Service Delivery</w:t>
            </w:r>
          </w:p>
        </w:tc>
        <w:tc>
          <w:tcPr>
            <w:tcW w:w="1134" w:type="dxa"/>
            <w:vAlign w:val="center"/>
          </w:tcPr>
          <w:p w14:paraId="7D5A85B2"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23</w:t>
            </w:r>
            <w:r>
              <w:rPr>
                <w:rFonts w:ascii="Arial" w:hAnsi="Arial" w:cs="Arial"/>
                <w:sz w:val="20"/>
                <w:szCs w:val="20"/>
              </w:rPr>
              <w:t>6</w:t>
            </w:r>
          </w:p>
        </w:tc>
        <w:tc>
          <w:tcPr>
            <w:tcW w:w="992" w:type="dxa"/>
            <w:vAlign w:val="center"/>
          </w:tcPr>
          <w:p w14:paraId="14C7E8E4" w14:textId="3A0333F3" w:rsidR="008F4E4C" w:rsidRPr="008B1E99" w:rsidRDefault="008F29AC" w:rsidP="008F4E4C">
            <w:pPr>
              <w:jc w:val="right"/>
              <w:rPr>
                <w:rFonts w:ascii="Arial" w:hAnsi="Arial" w:cs="Arial"/>
                <w:sz w:val="20"/>
                <w:szCs w:val="20"/>
              </w:rPr>
            </w:pPr>
            <w:r>
              <w:rPr>
                <w:rFonts w:ascii="Arial" w:hAnsi="Arial" w:cs="Arial"/>
                <w:sz w:val="20"/>
                <w:szCs w:val="20"/>
              </w:rPr>
              <w:t>-2</w:t>
            </w:r>
            <w:r w:rsidR="008F4E4C">
              <w:rPr>
                <w:rFonts w:ascii="Arial" w:hAnsi="Arial" w:cs="Arial"/>
                <w:sz w:val="20"/>
                <w:szCs w:val="20"/>
              </w:rPr>
              <w:t>0</w:t>
            </w:r>
          </w:p>
        </w:tc>
        <w:tc>
          <w:tcPr>
            <w:tcW w:w="993" w:type="dxa"/>
            <w:vAlign w:val="center"/>
          </w:tcPr>
          <w:p w14:paraId="543E239B"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6EE8D4A9"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7533520D" w14:textId="072D7C55" w:rsidR="008F4E4C" w:rsidRPr="008B1E99" w:rsidRDefault="008F4E4C" w:rsidP="008F29AC">
            <w:pPr>
              <w:jc w:val="right"/>
              <w:rPr>
                <w:rFonts w:ascii="Arial" w:hAnsi="Arial" w:cs="Arial"/>
                <w:sz w:val="20"/>
                <w:szCs w:val="20"/>
              </w:rPr>
            </w:pPr>
            <w:r>
              <w:rPr>
                <w:rFonts w:ascii="Arial" w:hAnsi="Arial" w:cs="Arial"/>
                <w:sz w:val="20"/>
                <w:szCs w:val="20"/>
              </w:rPr>
              <w:t>2</w:t>
            </w:r>
            <w:r w:rsidR="008F29AC">
              <w:rPr>
                <w:rFonts w:ascii="Arial" w:hAnsi="Arial" w:cs="Arial"/>
                <w:sz w:val="20"/>
                <w:szCs w:val="20"/>
              </w:rPr>
              <w:t>1</w:t>
            </w:r>
            <w:r>
              <w:rPr>
                <w:rFonts w:ascii="Arial" w:hAnsi="Arial" w:cs="Arial"/>
                <w:sz w:val="20"/>
                <w:szCs w:val="20"/>
              </w:rPr>
              <w:t>6</w:t>
            </w:r>
          </w:p>
        </w:tc>
        <w:tc>
          <w:tcPr>
            <w:tcW w:w="992" w:type="dxa"/>
            <w:vAlign w:val="center"/>
          </w:tcPr>
          <w:p w14:paraId="4CDFA3E6" w14:textId="1AD2EF96" w:rsidR="008F4E4C" w:rsidRPr="008B1E99" w:rsidRDefault="008F29AC" w:rsidP="008F4E4C">
            <w:pPr>
              <w:jc w:val="right"/>
              <w:rPr>
                <w:rFonts w:ascii="Arial" w:hAnsi="Arial" w:cs="Arial"/>
                <w:sz w:val="20"/>
                <w:szCs w:val="20"/>
              </w:rPr>
            </w:pPr>
            <w:r>
              <w:rPr>
                <w:rFonts w:ascii="Arial" w:hAnsi="Arial" w:cs="Arial"/>
                <w:sz w:val="20"/>
                <w:szCs w:val="20"/>
              </w:rPr>
              <w:t>-2</w:t>
            </w:r>
            <w:r w:rsidR="008F4E4C">
              <w:rPr>
                <w:rFonts w:ascii="Arial" w:hAnsi="Arial" w:cs="Arial"/>
                <w:sz w:val="20"/>
                <w:szCs w:val="20"/>
              </w:rPr>
              <w:t>0</w:t>
            </w:r>
          </w:p>
        </w:tc>
        <w:tc>
          <w:tcPr>
            <w:tcW w:w="992" w:type="dxa"/>
            <w:vAlign w:val="center"/>
          </w:tcPr>
          <w:p w14:paraId="3A9F8D0A"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15F29459"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1631DA66" w14:textId="4851852C" w:rsidR="008F4E4C" w:rsidRPr="008B1E99" w:rsidRDefault="008F29AC" w:rsidP="008F4E4C">
            <w:pPr>
              <w:jc w:val="right"/>
              <w:rPr>
                <w:rFonts w:ascii="Arial" w:hAnsi="Arial" w:cs="Arial"/>
                <w:sz w:val="20"/>
                <w:szCs w:val="20"/>
              </w:rPr>
            </w:pPr>
            <w:r>
              <w:rPr>
                <w:rFonts w:ascii="Arial" w:hAnsi="Arial" w:cs="Arial"/>
                <w:sz w:val="20"/>
                <w:szCs w:val="20"/>
              </w:rPr>
              <w:t>196</w:t>
            </w:r>
          </w:p>
        </w:tc>
        <w:tc>
          <w:tcPr>
            <w:tcW w:w="993" w:type="dxa"/>
            <w:vAlign w:val="center"/>
          </w:tcPr>
          <w:p w14:paraId="11943A26" w14:textId="24CD38A7" w:rsidR="008F4E4C" w:rsidRPr="008B1E99" w:rsidRDefault="008F29AC" w:rsidP="008F4E4C">
            <w:pPr>
              <w:jc w:val="right"/>
              <w:rPr>
                <w:rFonts w:ascii="Arial" w:hAnsi="Arial" w:cs="Arial"/>
                <w:sz w:val="20"/>
                <w:szCs w:val="20"/>
              </w:rPr>
            </w:pPr>
            <w:r>
              <w:rPr>
                <w:rFonts w:ascii="Arial" w:hAnsi="Arial" w:cs="Arial"/>
                <w:sz w:val="20"/>
                <w:szCs w:val="20"/>
              </w:rPr>
              <w:t>-2</w:t>
            </w:r>
            <w:r w:rsidR="008F4E4C">
              <w:rPr>
                <w:rFonts w:ascii="Arial" w:hAnsi="Arial" w:cs="Arial"/>
                <w:sz w:val="20"/>
                <w:szCs w:val="20"/>
              </w:rPr>
              <w:t>0</w:t>
            </w:r>
          </w:p>
        </w:tc>
        <w:tc>
          <w:tcPr>
            <w:tcW w:w="992" w:type="dxa"/>
            <w:vAlign w:val="center"/>
          </w:tcPr>
          <w:p w14:paraId="7E877507"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2DA19AB6"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2BB8F3B0" w14:textId="7A675747" w:rsidR="008F4E4C" w:rsidRPr="008B1E99" w:rsidRDefault="008F29AC" w:rsidP="008F29AC">
            <w:pPr>
              <w:jc w:val="right"/>
              <w:rPr>
                <w:rFonts w:ascii="Arial" w:hAnsi="Arial" w:cs="Arial"/>
                <w:sz w:val="20"/>
                <w:szCs w:val="20"/>
              </w:rPr>
            </w:pPr>
            <w:r>
              <w:rPr>
                <w:rFonts w:ascii="Arial" w:hAnsi="Arial" w:cs="Arial"/>
                <w:sz w:val="20"/>
                <w:szCs w:val="20"/>
              </w:rPr>
              <w:t>17</w:t>
            </w:r>
            <w:r w:rsidR="008F4E4C">
              <w:rPr>
                <w:rFonts w:ascii="Arial" w:hAnsi="Arial" w:cs="Arial"/>
                <w:sz w:val="20"/>
                <w:szCs w:val="20"/>
              </w:rPr>
              <w:t>6</w:t>
            </w:r>
          </w:p>
        </w:tc>
      </w:tr>
      <w:tr w:rsidR="008F4E4C" w:rsidRPr="008B1E99" w14:paraId="7E0DB75E" w14:textId="77777777" w:rsidTr="008F4E4C">
        <w:trPr>
          <w:trHeight w:val="510"/>
        </w:trPr>
        <w:tc>
          <w:tcPr>
            <w:tcW w:w="1843" w:type="dxa"/>
            <w:vAlign w:val="center"/>
          </w:tcPr>
          <w:p w14:paraId="74116B68" w14:textId="77777777" w:rsidR="008F4E4C" w:rsidRPr="008C0E4E" w:rsidRDefault="008F4E4C" w:rsidP="008F4E4C">
            <w:pPr>
              <w:rPr>
                <w:rFonts w:ascii="Arial" w:hAnsi="Arial" w:cs="Arial"/>
                <w:b/>
                <w:sz w:val="20"/>
                <w:szCs w:val="20"/>
              </w:rPr>
            </w:pPr>
            <w:r w:rsidRPr="008C0E4E">
              <w:rPr>
                <w:rFonts w:ascii="Arial" w:hAnsi="Arial" w:cs="Arial"/>
                <w:b/>
                <w:sz w:val="20"/>
                <w:szCs w:val="20"/>
              </w:rPr>
              <w:t>Building Maintenance</w:t>
            </w:r>
          </w:p>
        </w:tc>
        <w:tc>
          <w:tcPr>
            <w:tcW w:w="1134" w:type="dxa"/>
            <w:vAlign w:val="center"/>
          </w:tcPr>
          <w:p w14:paraId="5B526B8B" w14:textId="0A2DEA95" w:rsidR="008F4E4C" w:rsidRPr="008B1E99" w:rsidRDefault="008F29AC" w:rsidP="008F29AC">
            <w:pPr>
              <w:jc w:val="right"/>
              <w:rPr>
                <w:rFonts w:ascii="Arial" w:hAnsi="Arial" w:cs="Arial"/>
                <w:sz w:val="20"/>
                <w:szCs w:val="20"/>
              </w:rPr>
            </w:pPr>
            <w:r>
              <w:rPr>
                <w:rFonts w:ascii="Arial" w:hAnsi="Arial" w:cs="Arial"/>
                <w:sz w:val="20"/>
                <w:szCs w:val="20"/>
              </w:rPr>
              <w:t>4</w:t>
            </w:r>
            <w:r w:rsidR="008F4E4C">
              <w:rPr>
                <w:rFonts w:ascii="Arial" w:hAnsi="Arial" w:cs="Arial"/>
                <w:sz w:val="20"/>
                <w:szCs w:val="20"/>
              </w:rPr>
              <w:t>08</w:t>
            </w:r>
          </w:p>
        </w:tc>
        <w:tc>
          <w:tcPr>
            <w:tcW w:w="992" w:type="dxa"/>
            <w:vAlign w:val="center"/>
          </w:tcPr>
          <w:p w14:paraId="03F48998" w14:textId="20808BB7" w:rsidR="008F4E4C" w:rsidRPr="008B1E99" w:rsidRDefault="008F29AC" w:rsidP="008F4E4C">
            <w:pPr>
              <w:jc w:val="right"/>
              <w:rPr>
                <w:rFonts w:ascii="Arial" w:hAnsi="Arial" w:cs="Arial"/>
                <w:sz w:val="20"/>
                <w:szCs w:val="20"/>
              </w:rPr>
            </w:pPr>
            <w:r>
              <w:rPr>
                <w:rFonts w:ascii="Arial" w:hAnsi="Arial" w:cs="Arial"/>
                <w:sz w:val="20"/>
                <w:szCs w:val="20"/>
              </w:rPr>
              <w:t>0</w:t>
            </w:r>
          </w:p>
        </w:tc>
        <w:tc>
          <w:tcPr>
            <w:tcW w:w="993" w:type="dxa"/>
            <w:vAlign w:val="center"/>
          </w:tcPr>
          <w:p w14:paraId="574F3461"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149954DE"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59598424" w14:textId="75406A90" w:rsidR="008F4E4C" w:rsidRPr="008B1E99" w:rsidRDefault="008F29AC" w:rsidP="008F4E4C">
            <w:pPr>
              <w:jc w:val="right"/>
              <w:rPr>
                <w:rFonts w:ascii="Arial" w:hAnsi="Arial" w:cs="Arial"/>
                <w:sz w:val="20"/>
                <w:szCs w:val="20"/>
              </w:rPr>
            </w:pPr>
            <w:r>
              <w:rPr>
                <w:rFonts w:ascii="Arial" w:hAnsi="Arial" w:cs="Arial"/>
                <w:sz w:val="20"/>
                <w:szCs w:val="20"/>
              </w:rPr>
              <w:t>408</w:t>
            </w:r>
          </w:p>
        </w:tc>
        <w:tc>
          <w:tcPr>
            <w:tcW w:w="992" w:type="dxa"/>
            <w:vAlign w:val="center"/>
          </w:tcPr>
          <w:p w14:paraId="5A2F3B75" w14:textId="4A8C4E26" w:rsidR="008F4E4C" w:rsidRPr="008B1E99" w:rsidRDefault="008F29AC" w:rsidP="008F4E4C">
            <w:pPr>
              <w:jc w:val="right"/>
              <w:rPr>
                <w:rFonts w:ascii="Arial" w:hAnsi="Arial" w:cs="Arial"/>
                <w:sz w:val="20"/>
                <w:szCs w:val="20"/>
              </w:rPr>
            </w:pPr>
            <w:r>
              <w:rPr>
                <w:rFonts w:ascii="Arial" w:hAnsi="Arial" w:cs="Arial"/>
                <w:sz w:val="20"/>
                <w:szCs w:val="20"/>
              </w:rPr>
              <w:t>0</w:t>
            </w:r>
          </w:p>
        </w:tc>
        <w:tc>
          <w:tcPr>
            <w:tcW w:w="992" w:type="dxa"/>
            <w:vAlign w:val="center"/>
          </w:tcPr>
          <w:p w14:paraId="6108E44C"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2D2B2DEC"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6C8D894E" w14:textId="54D7330F" w:rsidR="008F4E4C" w:rsidRPr="008B1E99" w:rsidRDefault="008F29AC" w:rsidP="008F29AC">
            <w:pPr>
              <w:jc w:val="right"/>
              <w:rPr>
                <w:rFonts w:ascii="Arial" w:hAnsi="Arial" w:cs="Arial"/>
                <w:sz w:val="20"/>
                <w:szCs w:val="20"/>
              </w:rPr>
            </w:pPr>
            <w:r>
              <w:rPr>
                <w:rFonts w:ascii="Arial" w:hAnsi="Arial" w:cs="Arial"/>
                <w:sz w:val="20"/>
                <w:szCs w:val="20"/>
              </w:rPr>
              <w:t>4</w:t>
            </w:r>
            <w:r w:rsidR="008F4E4C">
              <w:rPr>
                <w:rFonts w:ascii="Arial" w:hAnsi="Arial" w:cs="Arial"/>
                <w:sz w:val="20"/>
                <w:szCs w:val="20"/>
              </w:rPr>
              <w:t>08</w:t>
            </w:r>
          </w:p>
        </w:tc>
        <w:tc>
          <w:tcPr>
            <w:tcW w:w="993" w:type="dxa"/>
            <w:vAlign w:val="center"/>
          </w:tcPr>
          <w:p w14:paraId="0CD9559F" w14:textId="194C1B3E"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08B677FA"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5B2562AC"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44474ACF" w14:textId="7E25D9E4" w:rsidR="008F4E4C" w:rsidRPr="008B1E99" w:rsidRDefault="008F29AC" w:rsidP="008F29AC">
            <w:pPr>
              <w:jc w:val="right"/>
              <w:rPr>
                <w:rFonts w:ascii="Arial" w:hAnsi="Arial" w:cs="Arial"/>
                <w:sz w:val="20"/>
                <w:szCs w:val="20"/>
              </w:rPr>
            </w:pPr>
            <w:r>
              <w:rPr>
                <w:rFonts w:ascii="Arial" w:hAnsi="Arial" w:cs="Arial"/>
                <w:sz w:val="20"/>
                <w:szCs w:val="20"/>
              </w:rPr>
              <w:t>40</w:t>
            </w:r>
            <w:r w:rsidR="008F4E4C">
              <w:rPr>
                <w:rFonts w:ascii="Arial" w:hAnsi="Arial" w:cs="Arial"/>
                <w:sz w:val="20"/>
                <w:szCs w:val="20"/>
              </w:rPr>
              <w:t>8</w:t>
            </w:r>
          </w:p>
        </w:tc>
      </w:tr>
      <w:tr w:rsidR="008F4E4C" w:rsidRPr="008B1E99" w14:paraId="5C0015AD" w14:textId="77777777" w:rsidTr="008F4E4C">
        <w:trPr>
          <w:trHeight w:val="510"/>
        </w:trPr>
        <w:tc>
          <w:tcPr>
            <w:tcW w:w="1843" w:type="dxa"/>
            <w:vAlign w:val="center"/>
          </w:tcPr>
          <w:p w14:paraId="6F409EFC" w14:textId="77777777" w:rsidR="008F4E4C" w:rsidRPr="008C0E4E" w:rsidRDefault="008F4E4C" w:rsidP="008F4E4C">
            <w:pPr>
              <w:rPr>
                <w:rFonts w:ascii="Arial" w:hAnsi="Arial" w:cs="Arial"/>
                <w:b/>
                <w:sz w:val="20"/>
                <w:szCs w:val="20"/>
              </w:rPr>
            </w:pPr>
            <w:r w:rsidRPr="008C0E4E">
              <w:rPr>
                <w:rFonts w:ascii="Arial" w:hAnsi="Arial" w:cs="Arial"/>
                <w:b/>
                <w:sz w:val="20"/>
                <w:szCs w:val="20"/>
              </w:rPr>
              <w:t>Operational Equipment</w:t>
            </w:r>
          </w:p>
        </w:tc>
        <w:tc>
          <w:tcPr>
            <w:tcW w:w="1134" w:type="dxa"/>
            <w:vAlign w:val="center"/>
          </w:tcPr>
          <w:p w14:paraId="1D2023E8" w14:textId="21BAF66D" w:rsidR="008F4E4C" w:rsidRPr="008B1E99" w:rsidRDefault="008F29AC" w:rsidP="008F29AC">
            <w:pPr>
              <w:jc w:val="right"/>
              <w:rPr>
                <w:rFonts w:ascii="Arial" w:hAnsi="Arial" w:cs="Arial"/>
                <w:sz w:val="20"/>
                <w:szCs w:val="20"/>
              </w:rPr>
            </w:pPr>
            <w:r>
              <w:rPr>
                <w:rFonts w:ascii="Arial" w:hAnsi="Arial" w:cs="Arial"/>
                <w:sz w:val="20"/>
                <w:szCs w:val="20"/>
              </w:rPr>
              <w:t>359</w:t>
            </w:r>
          </w:p>
        </w:tc>
        <w:tc>
          <w:tcPr>
            <w:tcW w:w="992" w:type="dxa"/>
            <w:vAlign w:val="center"/>
          </w:tcPr>
          <w:p w14:paraId="750E4695" w14:textId="4DF00C80" w:rsidR="008F4E4C" w:rsidRPr="008B1E99" w:rsidRDefault="008F29AC" w:rsidP="008F4E4C">
            <w:pPr>
              <w:jc w:val="right"/>
              <w:rPr>
                <w:rFonts w:ascii="Arial" w:hAnsi="Arial" w:cs="Arial"/>
                <w:sz w:val="20"/>
                <w:szCs w:val="20"/>
              </w:rPr>
            </w:pPr>
            <w:r>
              <w:rPr>
                <w:rFonts w:ascii="Arial" w:hAnsi="Arial" w:cs="Arial"/>
                <w:sz w:val="20"/>
                <w:szCs w:val="20"/>
              </w:rPr>
              <w:t>-5</w:t>
            </w:r>
            <w:r w:rsidR="008F4E4C">
              <w:rPr>
                <w:rFonts w:ascii="Arial" w:hAnsi="Arial" w:cs="Arial"/>
                <w:sz w:val="20"/>
                <w:szCs w:val="20"/>
              </w:rPr>
              <w:t>0</w:t>
            </w:r>
          </w:p>
        </w:tc>
        <w:tc>
          <w:tcPr>
            <w:tcW w:w="993" w:type="dxa"/>
            <w:vAlign w:val="center"/>
          </w:tcPr>
          <w:p w14:paraId="3FB6B106"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5EB2066C"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6EAD55DE" w14:textId="71BF9D53" w:rsidR="008F4E4C" w:rsidRPr="008B1E99" w:rsidRDefault="008F29AC" w:rsidP="008F4E4C">
            <w:pPr>
              <w:jc w:val="right"/>
              <w:rPr>
                <w:rFonts w:ascii="Arial" w:hAnsi="Arial" w:cs="Arial"/>
                <w:sz w:val="20"/>
                <w:szCs w:val="20"/>
              </w:rPr>
            </w:pPr>
            <w:r>
              <w:rPr>
                <w:rFonts w:ascii="Arial" w:hAnsi="Arial" w:cs="Arial"/>
                <w:sz w:val="20"/>
                <w:szCs w:val="20"/>
              </w:rPr>
              <w:t>309</w:t>
            </w:r>
          </w:p>
        </w:tc>
        <w:tc>
          <w:tcPr>
            <w:tcW w:w="992" w:type="dxa"/>
            <w:vAlign w:val="center"/>
          </w:tcPr>
          <w:p w14:paraId="0AC4106D" w14:textId="0CB208FF" w:rsidR="008F4E4C" w:rsidRPr="008B1E99" w:rsidRDefault="008F29AC" w:rsidP="008F4E4C">
            <w:pPr>
              <w:jc w:val="right"/>
              <w:rPr>
                <w:rFonts w:ascii="Arial" w:hAnsi="Arial" w:cs="Arial"/>
                <w:sz w:val="20"/>
                <w:szCs w:val="20"/>
              </w:rPr>
            </w:pPr>
            <w:r>
              <w:rPr>
                <w:rFonts w:ascii="Arial" w:hAnsi="Arial" w:cs="Arial"/>
                <w:sz w:val="20"/>
                <w:szCs w:val="20"/>
              </w:rPr>
              <w:t>-5</w:t>
            </w:r>
            <w:r w:rsidR="008F4E4C">
              <w:rPr>
                <w:rFonts w:ascii="Arial" w:hAnsi="Arial" w:cs="Arial"/>
                <w:sz w:val="20"/>
                <w:szCs w:val="20"/>
              </w:rPr>
              <w:t>0</w:t>
            </w:r>
          </w:p>
        </w:tc>
        <w:tc>
          <w:tcPr>
            <w:tcW w:w="992" w:type="dxa"/>
            <w:vAlign w:val="center"/>
          </w:tcPr>
          <w:p w14:paraId="1EB6D2EE"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66C6CA2D"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734718C1" w14:textId="6495959C" w:rsidR="008F4E4C" w:rsidRPr="008B1E99" w:rsidRDefault="008F29AC" w:rsidP="008F29AC">
            <w:pPr>
              <w:jc w:val="right"/>
              <w:rPr>
                <w:rFonts w:ascii="Arial" w:hAnsi="Arial" w:cs="Arial"/>
                <w:sz w:val="20"/>
                <w:szCs w:val="20"/>
              </w:rPr>
            </w:pPr>
            <w:r>
              <w:rPr>
                <w:rFonts w:ascii="Arial" w:hAnsi="Arial" w:cs="Arial"/>
                <w:sz w:val="20"/>
                <w:szCs w:val="20"/>
              </w:rPr>
              <w:t>-259</w:t>
            </w:r>
          </w:p>
        </w:tc>
        <w:tc>
          <w:tcPr>
            <w:tcW w:w="993" w:type="dxa"/>
            <w:vAlign w:val="center"/>
          </w:tcPr>
          <w:p w14:paraId="098DA059" w14:textId="657AD0F4" w:rsidR="008F4E4C" w:rsidRPr="008B1E99" w:rsidRDefault="008F29AC" w:rsidP="008F4E4C">
            <w:pPr>
              <w:jc w:val="right"/>
              <w:rPr>
                <w:rFonts w:ascii="Arial" w:hAnsi="Arial" w:cs="Arial"/>
                <w:sz w:val="20"/>
                <w:szCs w:val="20"/>
              </w:rPr>
            </w:pPr>
            <w:r>
              <w:rPr>
                <w:rFonts w:ascii="Arial" w:hAnsi="Arial" w:cs="Arial"/>
                <w:sz w:val="20"/>
                <w:szCs w:val="20"/>
              </w:rPr>
              <w:t>-5</w:t>
            </w:r>
            <w:r w:rsidR="008F4E4C" w:rsidRPr="008B1E99">
              <w:rPr>
                <w:rFonts w:ascii="Arial" w:hAnsi="Arial" w:cs="Arial"/>
                <w:sz w:val="20"/>
                <w:szCs w:val="20"/>
              </w:rPr>
              <w:t>0</w:t>
            </w:r>
          </w:p>
        </w:tc>
        <w:tc>
          <w:tcPr>
            <w:tcW w:w="992" w:type="dxa"/>
            <w:vAlign w:val="center"/>
          </w:tcPr>
          <w:p w14:paraId="194D301B"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413B3102"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16D3F238" w14:textId="34A54ED9" w:rsidR="008F4E4C" w:rsidRPr="008B1E99" w:rsidRDefault="008F29AC" w:rsidP="008F4E4C">
            <w:pPr>
              <w:jc w:val="right"/>
              <w:rPr>
                <w:rFonts w:ascii="Arial" w:hAnsi="Arial" w:cs="Arial"/>
                <w:sz w:val="20"/>
                <w:szCs w:val="20"/>
              </w:rPr>
            </w:pPr>
            <w:r>
              <w:rPr>
                <w:rFonts w:ascii="Arial" w:hAnsi="Arial" w:cs="Arial"/>
                <w:sz w:val="20"/>
                <w:szCs w:val="20"/>
              </w:rPr>
              <w:t>209</w:t>
            </w:r>
          </w:p>
        </w:tc>
      </w:tr>
      <w:tr w:rsidR="008F4E4C" w:rsidRPr="008B1E99" w14:paraId="09F02EFE" w14:textId="77777777" w:rsidTr="008F4E4C">
        <w:trPr>
          <w:trHeight w:val="510"/>
        </w:trPr>
        <w:tc>
          <w:tcPr>
            <w:tcW w:w="1843" w:type="dxa"/>
            <w:vAlign w:val="center"/>
          </w:tcPr>
          <w:p w14:paraId="0A4C64B1" w14:textId="77777777" w:rsidR="008F4E4C" w:rsidRPr="008B1E99" w:rsidRDefault="008F4E4C" w:rsidP="008F4E4C">
            <w:pPr>
              <w:rPr>
                <w:rFonts w:ascii="Arial" w:hAnsi="Arial" w:cs="Arial"/>
                <w:b/>
                <w:sz w:val="20"/>
                <w:szCs w:val="20"/>
              </w:rPr>
            </w:pPr>
            <w:r w:rsidRPr="008B1E99">
              <w:rPr>
                <w:rFonts w:ascii="Arial" w:hAnsi="Arial" w:cs="Arial"/>
                <w:b/>
                <w:sz w:val="20"/>
                <w:szCs w:val="20"/>
              </w:rPr>
              <w:t>Training</w:t>
            </w:r>
          </w:p>
        </w:tc>
        <w:tc>
          <w:tcPr>
            <w:tcW w:w="1134" w:type="dxa"/>
            <w:vAlign w:val="center"/>
          </w:tcPr>
          <w:p w14:paraId="2FBFA1C9"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2</w:t>
            </w:r>
            <w:r>
              <w:rPr>
                <w:rFonts w:ascii="Arial" w:hAnsi="Arial" w:cs="Arial"/>
                <w:sz w:val="20"/>
                <w:szCs w:val="20"/>
              </w:rPr>
              <w:t>55</w:t>
            </w:r>
          </w:p>
        </w:tc>
        <w:tc>
          <w:tcPr>
            <w:tcW w:w="992" w:type="dxa"/>
            <w:vAlign w:val="center"/>
          </w:tcPr>
          <w:p w14:paraId="65AE5A6F" w14:textId="28674AED" w:rsidR="008F4E4C" w:rsidRPr="008B1E99" w:rsidRDefault="008F29AC" w:rsidP="008F29AC">
            <w:pPr>
              <w:jc w:val="right"/>
              <w:rPr>
                <w:rFonts w:ascii="Arial" w:hAnsi="Arial" w:cs="Arial"/>
                <w:sz w:val="20"/>
                <w:szCs w:val="20"/>
              </w:rPr>
            </w:pPr>
            <w:r>
              <w:rPr>
                <w:rFonts w:ascii="Arial" w:hAnsi="Arial" w:cs="Arial"/>
                <w:sz w:val="20"/>
                <w:szCs w:val="20"/>
              </w:rPr>
              <w:t>-45</w:t>
            </w:r>
          </w:p>
        </w:tc>
        <w:tc>
          <w:tcPr>
            <w:tcW w:w="993" w:type="dxa"/>
            <w:vAlign w:val="center"/>
          </w:tcPr>
          <w:p w14:paraId="6CD039ED"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992" w:type="dxa"/>
            <w:vAlign w:val="center"/>
          </w:tcPr>
          <w:p w14:paraId="0B4B1EA1"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5BE2BEC2" w14:textId="2149CB79" w:rsidR="008F4E4C" w:rsidRPr="008B1E99" w:rsidRDefault="008F29AC" w:rsidP="008F4E4C">
            <w:pPr>
              <w:jc w:val="right"/>
              <w:rPr>
                <w:rFonts w:ascii="Arial" w:hAnsi="Arial" w:cs="Arial"/>
                <w:sz w:val="20"/>
                <w:szCs w:val="20"/>
              </w:rPr>
            </w:pPr>
            <w:r>
              <w:rPr>
                <w:rFonts w:ascii="Arial" w:hAnsi="Arial" w:cs="Arial"/>
                <w:sz w:val="20"/>
                <w:szCs w:val="20"/>
              </w:rPr>
              <w:t>210</w:t>
            </w:r>
          </w:p>
        </w:tc>
        <w:tc>
          <w:tcPr>
            <w:tcW w:w="992" w:type="dxa"/>
            <w:vAlign w:val="center"/>
          </w:tcPr>
          <w:p w14:paraId="24BD0221"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992" w:type="dxa"/>
            <w:vAlign w:val="center"/>
          </w:tcPr>
          <w:p w14:paraId="020763D0"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708CE266"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67D659F7" w14:textId="6D744AF5" w:rsidR="008F4E4C" w:rsidRPr="008B1E99" w:rsidRDefault="008F4E4C" w:rsidP="008F29AC">
            <w:pPr>
              <w:jc w:val="right"/>
              <w:rPr>
                <w:rFonts w:ascii="Arial" w:hAnsi="Arial" w:cs="Arial"/>
                <w:sz w:val="20"/>
                <w:szCs w:val="20"/>
              </w:rPr>
            </w:pPr>
            <w:r>
              <w:rPr>
                <w:rFonts w:ascii="Arial" w:hAnsi="Arial" w:cs="Arial"/>
                <w:sz w:val="20"/>
                <w:szCs w:val="20"/>
              </w:rPr>
              <w:t>2</w:t>
            </w:r>
            <w:r w:rsidR="008F29AC">
              <w:rPr>
                <w:rFonts w:ascii="Arial" w:hAnsi="Arial" w:cs="Arial"/>
                <w:sz w:val="20"/>
                <w:szCs w:val="20"/>
              </w:rPr>
              <w:t>10</w:t>
            </w:r>
          </w:p>
        </w:tc>
        <w:tc>
          <w:tcPr>
            <w:tcW w:w="993" w:type="dxa"/>
            <w:vAlign w:val="center"/>
          </w:tcPr>
          <w:p w14:paraId="254653B1"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992" w:type="dxa"/>
            <w:vAlign w:val="center"/>
          </w:tcPr>
          <w:p w14:paraId="1605638D" w14:textId="77777777" w:rsidR="008F4E4C" w:rsidRPr="008B1E99" w:rsidRDefault="008F4E4C" w:rsidP="008F4E4C">
            <w:pPr>
              <w:jc w:val="right"/>
              <w:rPr>
                <w:rFonts w:ascii="Arial" w:hAnsi="Arial" w:cs="Arial"/>
                <w:sz w:val="20"/>
                <w:szCs w:val="20"/>
              </w:rPr>
            </w:pPr>
            <w:r w:rsidRPr="008B1E99">
              <w:rPr>
                <w:rFonts w:ascii="Arial" w:hAnsi="Arial" w:cs="Arial"/>
                <w:sz w:val="20"/>
                <w:szCs w:val="20"/>
              </w:rPr>
              <w:t>0</w:t>
            </w:r>
          </w:p>
        </w:tc>
        <w:tc>
          <w:tcPr>
            <w:tcW w:w="1134" w:type="dxa"/>
            <w:vAlign w:val="center"/>
          </w:tcPr>
          <w:p w14:paraId="67C8DF2D" w14:textId="77777777" w:rsidR="008F4E4C" w:rsidRPr="008B1E99" w:rsidRDefault="008F4E4C" w:rsidP="008F4E4C">
            <w:pPr>
              <w:jc w:val="right"/>
              <w:rPr>
                <w:rFonts w:ascii="Arial" w:hAnsi="Arial" w:cs="Arial"/>
                <w:sz w:val="20"/>
                <w:szCs w:val="20"/>
              </w:rPr>
            </w:pPr>
            <w:r>
              <w:rPr>
                <w:rFonts w:ascii="Arial" w:hAnsi="Arial" w:cs="Arial"/>
                <w:sz w:val="20"/>
                <w:szCs w:val="20"/>
              </w:rPr>
              <w:t>0</w:t>
            </w:r>
          </w:p>
        </w:tc>
        <w:tc>
          <w:tcPr>
            <w:tcW w:w="1134" w:type="dxa"/>
            <w:vAlign w:val="center"/>
          </w:tcPr>
          <w:p w14:paraId="2026C214" w14:textId="7155176E" w:rsidR="008F4E4C" w:rsidRPr="008B1E99" w:rsidRDefault="008F4E4C" w:rsidP="008F29AC">
            <w:pPr>
              <w:jc w:val="right"/>
              <w:rPr>
                <w:rFonts w:ascii="Arial" w:hAnsi="Arial" w:cs="Arial"/>
                <w:sz w:val="20"/>
                <w:szCs w:val="20"/>
              </w:rPr>
            </w:pPr>
            <w:r>
              <w:rPr>
                <w:rFonts w:ascii="Arial" w:hAnsi="Arial" w:cs="Arial"/>
                <w:sz w:val="20"/>
                <w:szCs w:val="20"/>
              </w:rPr>
              <w:t>2</w:t>
            </w:r>
            <w:r w:rsidR="008F29AC">
              <w:rPr>
                <w:rFonts w:ascii="Arial" w:hAnsi="Arial" w:cs="Arial"/>
                <w:sz w:val="20"/>
                <w:szCs w:val="20"/>
              </w:rPr>
              <w:t>10</w:t>
            </w:r>
          </w:p>
        </w:tc>
      </w:tr>
    </w:tbl>
    <w:p w14:paraId="343AA106" w14:textId="77777777" w:rsidR="00266D85" w:rsidRPr="006122B0" w:rsidRDefault="00266D85" w:rsidP="001C01B4">
      <w:pPr>
        <w:rPr>
          <w:rFonts w:ascii="Arial" w:hAnsi="Arial" w:cs="Arial"/>
          <w:sz w:val="24"/>
          <w:szCs w:val="24"/>
        </w:rPr>
      </w:pPr>
    </w:p>
    <w:p w14:paraId="63E587F9" w14:textId="77777777" w:rsidR="00FA2DA4" w:rsidRDefault="00FA2DA4" w:rsidP="001C01B4">
      <w:pPr>
        <w:tabs>
          <w:tab w:val="left" w:pos="2220"/>
        </w:tabs>
        <w:rPr>
          <w:rFonts w:ascii="Arial" w:hAnsi="Arial" w:cs="Arial"/>
          <w:sz w:val="24"/>
          <w:szCs w:val="24"/>
        </w:rPr>
        <w:sectPr w:rsidR="00FA2DA4" w:rsidSect="00FA2DA4">
          <w:pgSz w:w="15840" w:h="12240" w:orient="landscape"/>
          <w:pgMar w:top="1440" w:right="1440" w:bottom="1440" w:left="1440" w:header="720" w:footer="720" w:gutter="0"/>
          <w:cols w:space="720"/>
          <w:docGrid w:linePitch="360"/>
        </w:sectPr>
      </w:pPr>
    </w:p>
    <w:p w14:paraId="35C556C4" w14:textId="5CE8A3EC" w:rsidR="00FA2DA4" w:rsidRDefault="00FA2DA4" w:rsidP="001C01B4">
      <w:pPr>
        <w:tabs>
          <w:tab w:val="left" w:pos="2220"/>
        </w:tabs>
        <w:rPr>
          <w:rFonts w:ascii="Arial" w:hAnsi="Arial" w:cs="Arial"/>
          <w:sz w:val="24"/>
          <w:szCs w:val="24"/>
        </w:rPr>
      </w:pPr>
    </w:p>
    <w:p w14:paraId="25ED1AFE" w14:textId="6B6C5352" w:rsidR="00A2789C" w:rsidRPr="006122B0" w:rsidRDefault="001C01B4" w:rsidP="001C01B4">
      <w:pPr>
        <w:tabs>
          <w:tab w:val="left" w:pos="2220"/>
        </w:tabs>
        <w:rPr>
          <w:rFonts w:ascii="Arial" w:hAnsi="Arial" w:cs="Arial"/>
          <w:sz w:val="24"/>
          <w:szCs w:val="24"/>
        </w:rPr>
      </w:pPr>
      <w:r w:rsidRPr="006122B0">
        <w:rPr>
          <w:rFonts w:ascii="Arial" w:hAnsi="Arial" w:cs="Arial"/>
          <w:sz w:val="24"/>
          <w:szCs w:val="24"/>
        </w:rPr>
        <w:tab/>
      </w:r>
    </w:p>
    <w:p w14:paraId="2F41F49D" w14:textId="1DD6EEA4" w:rsidR="001C01B4" w:rsidRPr="006122B0" w:rsidRDefault="001C01B4" w:rsidP="001C01B4">
      <w:pPr>
        <w:tabs>
          <w:tab w:val="left" w:pos="2220"/>
        </w:tabs>
        <w:rPr>
          <w:rFonts w:ascii="Arial" w:hAnsi="Arial" w:cs="Arial"/>
          <w:b/>
          <w:sz w:val="24"/>
          <w:szCs w:val="24"/>
        </w:rPr>
      </w:pPr>
    </w:p>
    <w:p w14:paraId="10F0BBA6" w14:textId="77777777" w:rsidR="001C01B4" w:rsidRPr="006122B0" w:rsidRDefault="001C01B4" w:rsidP="001C01B4">
      <w:pPr>
        <w:tabs>
          <w:tab w:val="left" w:pos="2220"/>
        </w:tabs>
        <w:rPr>
          <w:rFonts w:ascii="Arial" w:hAnsi="Arial" w:cs="Arial"/>
          <w:b/>
          <w:sz w:val="24"/>
          <w:szCs w:val="24"/>
        </w:rPr>
      </w:pPr>
    </w:p>
    <w:sectPr w:rsidR="001C01B4" w:rsidRPr="006122B0" w:rsidSect="00FA2D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9BE23" w14:textId="77777777" w:rsidR="001C23AE" w:rsidRDefault="001C23AE" w:rsidP="00E371FB">
      <w:pPr>
        <w:spacing w:after="0" w:line="240" w:lineRule="auto"/>
      </w:pPr>
      <w:r>
        <w:separator/>
      </w:r>
    </w:p>
  </w:endnote>
  <w:endnote w:type="continuationSeparator" w:id="0">
    <w:p w14:paraId="67D102C5" w14:textId="77777777" w:rsidR="001C23AE" w:rsidRDefault="001C23AE" w:rsidP="00E3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9763" w14:textId="77777777" w:rsidR="001C23AE" w:rsidRDefault="001C23AE" w:rsidP="00E371FB">
      <w:pPr>
        <w:spacing w:after="0" w:line="240" w:lineRule="auto"/>
      </w:pPr>
      <w:r>
        <w:separator/>
      </w:r>
    </w:p>
  </w:footnote>
  <w:footnote w:type="continuationSeparator" w:id="0">
    <w:p w14:paraId="11722B44" w14:textId="77777777" w:rsidR="001C23AE" w:rsidRDefault="001C23AE" w:rsidP="00E37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4EB"/>
    <w:multiLevelType w:val="hybridMultilevel"/>
    <w:tmpl w:val="487E8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F130405"/>
    <w:multiLevelType w:val="singleLevel"/>
    <w:tmpl w:val="60FC1E92"/>
    <w:lvl w:ilvl="0">
      <w:start w:val="1"/>
      <w:numFmt w:val="decimal"/>
      <w:lvlText w:val="%1"/>
      <w:lvlJc w:val="left"/>
      <w:pPr>
        <w:tabs>
          <w:tab w:val="num" w:pos="720"/>
        </w:tabs>
        <w:ind w:left="720" w:hanging="720"/>
      </w:pPr>
      <w:rPr>
        <w:rFonts w:hint="default"/>
      </w:rPr>
    </w:lvl>
  </w:abstractNum>
  <w:abstractNum w:abstractNumId="2" w15:restartNumberingAfterBreak="0">
    <w:nsid w:val="3E837A9D"/>
    <w:multiLevelType w:val="hybridMultilevel"/>
    <w:tmpl w:val="EDF201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F21FE1"/>
    <w:multiLevelType w:val="hybridMultilevel"/>
    <w:tmpl w:val="785AA8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C382F"/>
    <w:rsid w:val="00046F0A"/>
    <w:rsid w:val="00047868"/>
    <w:rsid w:val="000F1D05"/>
    <w:rsid w:val="00160F9C"/>
    <w:rsid w:val="001C01B4"/>
    <w:rsid w:val="001C23AE"/>
    <w:rsid w:val="001F4B28"/>
    <w:rsid w:val="0025694D"/>
    <w:rsid w:val="00266D85"/>
    <w:rsid w:val="003F38FD"/>
    <w:rsid w:val="00433FFA"/>
    <w:rsid w:val="00495FB1"/>
    <w:rsid w:val="004C090A"/>
    <w:rsid w:val="004C1FFE"/>
    <w:rsid w:val="005708F5"/>
    <w:rsid w:val="005714DD"/>
    <w:rsid w:val="00582FA9"/>
    <w:rsid w:val="005A0BF8"/>
    <w:rsid w:val="005C6831"/>
    <w:rsid w:val="006122B0"/>
    <w:rsid w:val="00650C9A"/>
    <w:rsid w:val="0071584C"/>
    <w:rsid w:val="00725C16"/>
    <w:rsid w:val="0074185A"/>
    <w:rsid w:val="007A2E36"/>
    <w:rsid w:val="007C0699"/>
    <w:rsid w:val="007C6A0B"/>
    <w:rsid w:val="00801515"/>
    <w:rsid w:val="008670A9"/>
    <w:rsid w:val="00891C78"/>
    <w:rsid w:val="008F0955"/>
    <w:rsid w:val="008F29AC"/>
    <w:rsid w:val="008F4E4C"/>
    <w:rsid w:val="00A2789C"/>
    <w:rsid w:val="00A47EED"/>
    <w:rsid w:val="00A60414"/>
    <w:rsid w:val="00A8548C"/>
    <w:rsid w:val="00B21E59"/>
    <w:rsid w:val="00B77AE6"/>
    <w:rsid w:val="00C76E28"/>
    <w:rsid w:val="00CF7D03"/>
    <w:rsid w:val="00E371FB"/>
    <w:rsid w:val="00ED164E"/>
    <w:rsid w:val="00F3249F"/>
    <w:rsid w:val="00F437A3"/>
    <w:rsid w:val="00FA2DA4"/>
    <w:rsid w:val="6A2C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382F"/>
  <w15:chartTrackingRefBased/>
  <w15:docId w15:val="{E198580D-C039-4A77-BA02-23BB3F40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2E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FB"/>
  </w:style>
  <w:style w:type="paragraph" w:styleId="Footer">
    <w:name w:val="footer"/>
    <w:basedOn w:val="Normal"/>
    <w:link w:val="FooterChar"/>
    <w:uiPriority w:val="99"/>
    <w:unhideWhenUsed/>
    <w:rsid w:val="00E3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FB"/>
  </w:style>
  <w:style w:type="paragraph" w:styleId="BalloonText">
    <w:name w:val="Balloon Text"/>
    <w:basedOn w:val="Normal"/>
    <w:link w:val="BalloonTextChar"/>
    <w:uiPriority w:val="99"/>
    <w:semiHidden/>
    <w:unhideWhenUsed/>
    <w:rsid w:val="00F43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A3"/>
    <w:rPr>
      <w:rFonts w:ascii="Segoe UI" w:hAnsi="Segoe UI" w:cs="Segoe UI"/>
      <w:sz w:val="18"/>
      <w:szCs w:val="18"/>
    </w:rPr>
  </w:style>
  <w:style w:type="table" w:styleId="TableGrid">
    <w:name w:val="Table Grid"/>
    <w:basedOn w:val="TableNormal"/>
    <w:uiPriority w:val="39"/>
    <w:rsid w:val="0057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708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ssubhead1">
    <w:name w:val="sssubhead1"/>
    <w:basedOn w:val="Heading1"/>
    <w:next w:val="PlainText"/>
    <w:autoRedefine/>
    <w:rsid w:val="007A2E36"/>
    <w:pPr>
      <w:keepNext w:val="0"/>
      <w:keepLines w:val="0"/>
      <w:spacing w:before="0" w:line="240" w:lineRule="auto"/>
      <w:ind w:left="720" w:hanging="720"/>
      <w:jc w:val="both"/>
    </w:pPr>
    <w:rPr>
      <w:rFonts w:ascii="Arial" w:eastAsia="Times New Roman" w:hAnsi="Arial" w:cs="Arial"/>
      <w:b/>
      <w:bCs/>
      <w:color w:val="auto"/>
      <w:sz w:val="24"/>
      <w:szCs w:val="24"/>
      <w:lang w:val="en-GB"/>
    </w:rPr>
  </w:style>
  <w:style w:type="paragraph" w:styleId="BodyTextIndent">
    <w:name w:val="Body Text Indent"/>
    <w:basedOn w:val="Normal"/>
    <w:link w:val="BodyTextIndentChar"/>
    <w:rsid w:val="007A2E36"/>
    <w:pPr>
      <w:spacing w:after="0" w:line="240" w:lineRule="auto"/>
      <w:ind w:left="720"/>
    </w:pPr>
    <w:rPr>
      <w:rFonts w:ascii="Arial" w:eastAsia="Times New Roman" w:hAnsi="Arial" w:cs="Arial"/>
      <w:sz w:val="24"/>
      <w:szCs w:val="24"/>
      <w:lang w:val="en-GB" w:eastAsia="en-GB"/>
    </w:rPr>
  </w:style>
  <w:style w:type="character" w:customStyle="1" w:styleId="BodyTextIndentChar">
    <w:name w:val="Body Text Indent Char"/>
    <w:basedOn w:val="DefaultParagraphFont"/>
    <w:link w:val="BodyTextIndent"/>
    <w:rsid w:val="007A2E36"/>
    <w:rPr>
      <w:rFonts w:ascii="Arial" w:eastAsia="Times New Roman" w:hAnsi="Arial" w:cs="Arial"/>
      <w:sz w:val="24"/>
      <w:szCs w:val="24"/>
      <w:lang w:val="en-GB" w:eastAsia="en-GB"/>
    </w:rPr>
  </w:style>
  <w:style w:type="paragraph" w:styleId="PlainText">
    <w:name w:val="Plain Text"/>
    <w:basedOn w:val="Normal"/>
    <w:link w:val="PlainTextChar"/>
    <w:uiPriority w:val="99"/>
    <w:rsid w:val="007A2E36"/>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uiPriority w:val="99"/>
    <w:rsid w:val="007A2E36"/>
    <w:rPr>
      <w:rFonts w:ascii="Courier New" w:eastAsia="Times New Roman" w:hAnsi="Courier New" w:cs="Courier New"/>
      <w:sz w:val="20"/>
      <w:szCs w:val="20"/>
      <w:lang w:val="en-GB" w:eastAsia="en-GB"/>
    </w:rPr>
  </w:style>
  <w:style w:type="paragraph" w:styleId="ListParagraph">
    <w:name w:val="List Paragraph"/>
    <w:basedOn w:val="Normal"/>
    <w:uiPriority w:val="34"/>
    <w:qFormat/>
    <w:rsid w:val="007A2E36"/>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A2E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6266">
      <w:bodyDiv w:val="1"/>
      <w:marLeft w:val="0"/>
      <w:marRight w:val="0"/>
      <w:marTop w:val="0"/>
      <w:marBottom w:val="0"/>
      <w:divBdr>
        <w:top w:val="none" w:sz="0" w:space="0" w:color="auto"/>
        <w:left w:val="none" w:sz="0" w:space="0" w:color="auto"/>
        <w:bottom w:val="none" w:sz="0" w:space="0" w:color="auto"/>
        <w:right w:val="none" w:sz="0" w:space="0" w:color="auto"/>
      </w:divBdr>
    </w:div>
    <w:div w:id="21276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Income and Expenditure 2011/12 to 2015/16</a:t>
            </a:r>
          </a:p>
        </c:rich>
      </c:tx>
      <c:layout>
        <c:manualLayout>
          <c:xMode val="edge"/>
          <c:yMode val="edge"/>
          <c:x val="0.22798145806995365"/>
          <c:y val="3.7878787878787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Graph!$B$1</c:f>
              <c:strCache>
                <c:ptCount val="1"/>
                <c:pt idx="0">
                  <c:v>Expenditure</c:v>
                </c:pt>
              </c:strCache>
            </c:strRef>
          </c:tx>
          <c:spPr>
            <a:ln w="28575" cap="rnd">
              <a:solidFill>
                <a:schemeClr val="accent3">
                  <a:tint val="77000"/>
                </a:schemeClr>
              </a:solidFill>
              <a:round/>
            </a:ln>
            <a:effectLst/>
          </c:spPr>
          <c:marker>
            <c:symbol val="circle"/>
            <c:size val="5"/>
            <c:spPr>
              <a:solidFill>
                <a:schemeClr val="accent3">
                  <a:tint val="77000"/>
                </a:schemeClr>
              </a:solidFill>
              <a:ln w="9525">
                <a:solidFill>
                  <a:schemeClr val="accent3">
                    <a:tint val="77000"/>
                  </a:schemeClr>
                </a:solidFill>
              </a:ln>
              <a:effectLst/>
            </c:spPr>
          </c:marker>
          <c:cat>
            <c:strRef>
              <c:f>Graph!$A$2:$A$6</c:f>
              <c:strCache>
                <c:ptCount val="5"/>
                <c:pt idx="0">
                  <c:v>2011/12</c:v>
                </c:pt>
                <c:pt idx="1">
                  <c:v>2012/13</c:v>
                </c:pt>
                <c:pt idx="2">
                  <c:v>2013/14</c:v>
                </c:pt>
                <c:pt idx="3">
                  <c:v>2014/15</c:v>
                </c:pt>
                <c:pt idx="4">
                  <c:v>2015/16</c:v>
                </c:pt>
              </c:strCache>
            </c:strRef>
          </c:cat>
          <c:val>
            <c:numRef>
              <c:f>Graph!$B$2:$B$6</c:f>
              <c:numCache>
                <c:formatCode>General</c:formatCode>
                <c:ptCount val="5"/>
                <c:pt idx="0">
                  <c:v>20474</c:v>
                </c:pt>
                <c:pt idx="1">
                  <c:v>20571</c:v>
                </c:pt>
                <c:pt idx="2">
                  <c:v>20568</c:v>
                </c:pt>
                <c:pt idx="3">
                  <c:v>20725</c:v>
                </c:pt>
                <c:pt idx="4">
                  <c:v>20899</c:v>
                </c:pt>
              </c:numCache>
            </c:numRef>
          </c:val>
          <c:smooth val="0"/>
        </c:ser>
        <c:ser>
          <c:idx val="1"/>
          <c:order val="1"/>
          <c:tx>
            <c:strRef>
              <c:f>Graph!$C$1</c:f>
              <c:strCache>
                <c:ptCount val="1"/>
                <c:pt idx="0">
                  <c:v>Income</c:v>
                </c:pt>
              </c:strCache>
            </c:strRef>
          </c:tx>
          <c:spPr>
            <a:ln w="28575" cap="rnd">
              <a:solidFill>
                <a:schemeClr val="accent3">
                  <a:shade val="76000"/>
                </a:schemeClr>
              </a:solidFill>
              <a:round/>
            </a:ln>
            <a:effectLst/>
          </c:spPr>
          <c:marker>
            <c:symbol val="circle"/>
            <c:size val="5"/>
            <c:spPr>
              <a:solidFill>
                <a:schemeClr val="accent3">
                  <a:shade val="76000"/>
                </a:schemeClr>
              </a:solidFill>
              <a:ln w="9525">
                <a:solidFill>
                  <a:schemeClr val="accent3">
                    <a:shade val="76000"/>
                  </a:schemeClr>
                </a:solidFill>
              </a:ln>
              <a:effectLst/>
            </c:spPr>
          </c:marker>
          <c:cat>
            <c:strRef>
              <c:f>Graph!$A$2:$A$6</c:f>
              <c:strCache>
                <c:ptCount val="5"/>
                <c:pt idx="0">
                  <c:v>2011/12</c:v>
                </c:pt>
                <c:pt idx="1">
                  <c:v>2012/13</c:v>
                </c:pt>
                <c:pt idx="2">
                  <c:v>2013/14</c:v>
                </c:pt>
                <c:pt idx="3">
                  <c:v>2014/15</c:v>
                </c:pt>
                <c:pt idx="4">
                  <c:v>2015/16</c:v>
                </c:pt>
              </c:strCache>
            </c:strRef>
          </c:cat>
          <c:val>
            <c:numRef>
              <c:f>Graph!$C$2:$C$6</c:f>
              <c:numCache>
                <c:formatCode>General</c:formatCode>
                <c:ptCount val="5"/>
                <c:pt idx="0">
                  <c:v>21037</c:v>
                </c:pt>
                <c:pt idx="1">
                  <c:v>21413</c:v>
                </c:pt>
                <c:pt idx="2">
                  <c:v>21258</c:v>
                </c:pt>
                <c:pt idx="3">
                  <c:v>21380</c:v>
                </c:pt>
                <c:pt idx="4">
                  <c:v>21441</c:v>
                </c:pt>
              </c:numCache>
            </c:numRef>
          </c:val>
          <c:smooth val="0"/>
        </c:ser>
        <c:dLbls>
          <c:showLegendKey val="0"/>
          <c:showVal val="0"/>
          <c:showCatName val="0"/>
          <c:showSerName val="0"/>
          <c:showPercent val="0"/>
          <c:showBubbleSize val="0"/>
        </c:dLbls>
        <c:marker val="1"/>
        <c:smooth val="0"/>
        <c:axId val="236797056"/>
        <c:axId val="236797448"/>
      </c:lineChart>
      <c:catAx>
        <c:axId val="23679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797448"/>
        <c:crosses val="autoZero"/>
        <c:auto val="1"/>
        <c:lblAlgn val="ctr"/>
        <c:lblOffset val="100"/>
        <c:noMultiLvlLbl val="0"/>
      </c:catAx>
      <c:valAx>
        <c:axId val="236797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797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Income and Expenditure 2015/16 to 2022/23</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Current!$I$156:$I$157</c:f>
              <c:strCache>
                <c:ptCount val="2"/>
                <c:pt idx="0">
                  <c:v>Expenditure</c:v>
                </c:pt>
              </c:strCache>
            </c:strRef>
          </c:tx>
          <c:spPr>
            <a:ln w="28575" cap="rnd">
              <a:solidFill>
                <a:schemeClr val="accent3">
                  <a:tint val="77000"/>
                </a:schemeClr>
              </a:solidFill>
              <a:round/>
            </a:ln>
            <a:effectLst/>
          </c:spPr>
          <c:marker>
            <c:symbol val="circle"/>
            <c:size val="5"/>
            <c:spPr>
              <a:solidFill>
                <a:schemeClr val="accent3">
                  <a:tint val="77000"/>
                </a:schemeClr>
              </a:solidFill>
              <a:ln w="9525">
                <a:solidFill>
                  <a:schemeClr val="accent3">
                    <a:tint val="77000"/>
                  </a:schemeClr>
                </a:solidFill>
              </a:ln>
              <a:effectLst/>
            </c:spPr>
          </c:marker>
          <c:cat>
            <c:strRef>
              <c:f>Current!$H$158:$H$165</c:f>
              <c:strCache>
                <c:ptCount val="8"/>
                <c:pt idx="0">
                  <c:v>2015/16</c:v>
                </c:pt>
                <c:pt idx="1">
                  <c:v>2016/17</c:v>
                </c:pt>
                <c:pt idx="2">
                  <c:v>2017/18</c:v>
                </c:pt>
                <c:pt idx="3">
                  <c:v>2018/19</c:v>
                </c:pt>
                <c:pt idx="4">
                  <c:v>2019/20</c:v>
                </c:pt>
                <c:pt idx="5">
                  <c:v>2020/21</c:v>
                </c:pt>
                <c:pt idx="6">
                  <c:v>2021/22</c:v>
                </c:pt>
                <c:pt idx="7">
                  <c:v>2022/23</c:v>
                </c:pt>
              </c:strCache>
            </c:strRef>
          </c:cat>
          <c:val>
            <c:numRef>
              <c:f>Current!$I$158:$I$165</c:f>
              <c:numCache>
                <c:formatCode>#,##0</c:formatCode>
                <c:ptCount val="8"/>
                <c:pt idx="0">
                  <c:v>20898.517500000002</c:v>
                </c:pt>
                <c:pt idx="1">
                  <c:v>21025.410550000001</c:v>
                </c:pt>
                <c:pt idx="2">
                  <c:v>20667.331980499999</c:v>
                </c:pt>
                <c:pt idx="3">
                  <c:v>20603.845680142498</c:v>
                </c:pt>
                <c:pt idx="4">
                  <c:v>20655.605004509212</c:v>
                </c:pt>
                <c:pt idx="5">
                  <c:v>21165.843597005645</c:v>
                </c:pt>
                <c:pt idx="6">
                  <c:v>21733.299524637165</c:v>
                </c:pt>
                <c:pt idx="7">
                  <c:v>22248.1484481886</c:v>
                </c:pt>
              </c:numCache>
            </c:numRef>
          </c:val>
          <c:smooth val="0"/>
        </c:ser>
        <c:ser>
          <c:idx val="1"/>
          <c:order val="1"/>
          <c:tx>
            <c:strRef>
              <c:f>Current!$J$156:$J$157</c:f>
              <c:strCache>
                <c:ptCount val="2"/>
                <c:pt idx="0">
                  <c:v>Income</c:v>
                </c:pt>
              </c:strCache>
            </c:strRef>
          </c:tx>
          <c:spPr>
            <a:ln w="28575" cap="rnd">
              <a:solidFill>
                <a:schemeClr val="accent3">
                  <a:shade val="76000"/>
                </a:schemeClr>
              </a:solidFill>
              <a:round/>
            </a:ln>
            <a:effectLst/>
          </c:spPr>
          <c:marker>
            <c:symbol val="circle"/>
            <c:size val="5"/>
            <c:spPr>
              <a:solidFill>
                <a:schemeClr val="accent3">
                  <a:shade val="76000"/>
                </a:schemeClr>
              </a:solidFill>
              <a:ln w="9525">
                <a:solidFill>
                  <a:schemeClr val="accent3">
                    <a:shade val="76000"/>
                  </a:schemeClr>
                </a:solidFill>
              </a:ln>
              <a:effectLst/>
            </c:spPr>
          </c:marker>
          <c:cat>
            <c:strRef>
              <c:f>Current!$H$158:$H$165</c:f>
              <c:strCache>
                <c:ptCount val="8"/>
                <c:pt idx="0">
                  <c:v>2015/16</c:v>
                </c:pt>
                <c:pt idx="1">
                  <c:v>2016/17</c:v>
                </c:pt>
                <c:pt idx="2">
                  <c:v>2017/18</c:v>
                </c:pt>
                <c:pt idx="3">
                  <c:v>2018/19</c:v>
                </c:pt>
                <c:pt idx="4">
                  <c:v>2019/20</c:v>
                </c:pt>
                <c:pt idx="5">
                  <c:v>2020/21</c:v>
                </c:pt>
                <c:pt idx="6">
                  <c:v>2021/22</c:v>
                </c:pt>
                <c:pt idx="7">
                  <c:v>2022/23</c:v>
                </c:pt>
              </c:strCache>
            </c:strRef>
          </c:cat>
          <c:val>
            <c:numRef>
              <c:f>Current!$J$158:$J$165</c:f>
              <c:numCache>
                <c:formatCode>#,##0</c:formatCode>
                <c:ptCount val="8"/>
                <c:pt idx="0">
                  <c:v>21440.951426600001</c:v>
                </c:pt>
                <c:pt idx="1">
                  <c:v>21670.371588542297</c:v>
                </c:pt>
                <c:pt idx="2">
                  <c:v>21310.752462378252</c:v>
                </c:pt>
                <c:pt idx="3">
                  <c:v>21638.661865757196</c:v>
                </c:pt>
                <c:pt idx="4">
                  <c:v>21558.747052787683</c:v>
                </c:pt>
                <c:pt idx="5">
                  <c:v>21633.669227291266</c:v>
                </c:pt>
                <c:pt idx="6">
                  <c:v>22096.21585807368</c:v>
                </c:pt>
                <c:pt idx="7">
                  <c:v>22571.741177278538</c:v>
                </c:pt>
              </c:numCache>
            </c:numRef>
          </c:val>
          <c:smooth val="0"/>
        </c:ser>
        <c:dLbls>
          <c:showLegendKey val="0"/>
          <c:showVal val="0"/>
          <c:showCatName val="0"/>
          <c:showSerName val="0"/>
          <c:showPercent val="0"/>
          <c:showBubbleSize val="0"/>
        </c:dLbls>
        <c:marker val="1"/>
        <c:smooth val="0"/>
        <c:axId val="236794312"/>
        <c:axId val="236794704"/>
      </c:lineChart>
      <c:catAx>
        <c:axId val="236794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794704"/>
        <c:crosses val="autoZero"/>
        <c:auto val="1"/>
        <c:lblAlgn val="ctr"/>
        <c:lblOffset val="100"/>
        <c:noMultiLvlLbl val="0"/>
      </c:catAx>
      <c:valAx>
        <c:axId val="236794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794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03c09791-9df4-449c-8bd9-ecf7fb2272f9">Budget Management Board</Category>
    <Year xmlns="03c09791-9df4-449c-8bd9-ecf7fb2272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3AA1AF711BD4EACCA323AA13E22E6" ma:contentTypeVersion="4" ma:contentTypeDescription="Create a new document." ma:contentTypeScope="" ma:versionID="93b611e28dc8e2168fdfef03a6e0d012">
  <xsd:schema xmlns:xsd="http://www.w3.org/2001/XMLSchema" xmlns:xs="http://www.w3.org/2001/XMLSchema" xmlns:p="http://schemas.microsoft.com/office/2006/metadata/properties" xmlns:ns2="03c09791-9df4-449c-8bd9-ecf7fb2272f9" targetNamespace="http://schemas.microsoft.com/office/2006/metadata/properties" ma:root="true" ma:fieldsID="a350009ee07e4253d45f0af1cfa70768" ns2:_="">
    <xsd:import namespace="03c09791-9df4-449c-8bd9-ecf7fb2272f9"/>
    <xsd:element name="properties">
      <xsd:complexType>
        <xsd:sequence>
          <xsd:element name="documentManagement">
            <xsd:complexType>
              <xsd:all>
                <xsd:element ref="ns2:Category" minOccurs="0"/>
                <xsd:element ref="ns2:Year"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9791-9df4-449c-8bd9-ecf7fb2272f9" elementFormDefault="qualified">
    <xsd:import namespace="http://schemas.microsoft.com/office/2006/documentManagement/types"/>
    <xsd:import namespace="http://schemas.microsoft.com/office/infopath/2007/PartnerControls"/>
    <xsd:element name="Category" ma:index="8" nillable="true" ma:displayName="Category" ma:default="Budget Management Board" ma:format="Dropdown" ma:internalName="Category">
      <xsd:simpleType>
        <xsd:restriction base="dms:Choice">
          <xsd:enumeration value="Budget Management Board"/>
          <xsd:enumeration value="Enter Choice #2"/>
          <xsd:enumeration value="Enter Choice #3"/>
        </xsd:restriction>
      </xsd:simpleType>
    </xsd:element>
    <xsd:element name="Year" ma:index="9" nillable="true" ma:displayName="Year" ma:format="Dropdown" ma:internalName="Year">
      <xsd:simpleType>
        <xsd:restriction base="dms:Choice">
          <xsd:enumeration value="2016-17"/>
          <xsd:enumeration value="2017-18"/>
          <xsd:enumeration value="2018-19"/>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D775-67C9-4D31-B4AD-5740E52518C8}">
  <ds:schemaRefs>
    <ds:schemaRef ds:uri="http://schemas.microsoft.com/sharepoint/v3/contenttype/forms"/>
  </ds:schemaRefs>
</ds:datastoreItem>
</file>

<file path=customXml/itemProps2.xml><?xml version="1.0" encoding="utf-8"?>
<ds:datastoreItem xmlns:ds="http://schemas.openxmlformats.org/officeDocument/2006/customXml" ds:itemID="{2C722658-4DD5-43AC-9AE1-C951F054ED8C}">
  <ds:schemaRefs>
    <ds:schemaRef ds:uri="http://purl.org/dc/elements/1.1/"/>
    <ds:schemaRef ds:uri="http://schemas.microsoft.com/office/2006/metadata/properties"/>
    <ds:schemaRef ds:uri="http://purl.org/dc/terms/"/>
    <ds:schemaRef ds:uri="03c09791-9df4-449c-8bd9-ecf7fb2272f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D51228F-B179-49B4-87AB-87B5C2B8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9791-9df4-449c-8bd9-ecf7fb227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EDE5D-6AB6-406E-B992-F148FF66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Coadey</dc:creator>
  <cp:keywords/>
  <dc:description/>
  <cp:lastModifiedBy>Joanne Coadey</cp:lastModifiedBy>
  <cp:revision>2</cp:revision>
  <cp:lastPrinted>2018-08-07T15:56:00Z</cp:lastPrinted>
  <dcterms:created xsi:type="dcterms:W3CDTF">2018-10-22T11:01:00Z</dcterms:created>
  <dcterms:modified xsi:type="dcterms:W3CDTF">2018-10-22T11:01:00Z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0x010100AD73AA1AF711BD4EACCA323AA13E22E6</vt:lpwstr>
  </property>
</Properties>
</file>